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B76" w14:textId="46190CAD" w:rsidR="00D41016" w:rsidRPr="004E75B3" w:rsidRDefault="000076AD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  <w:b/>
          <w:bCs/>
        </w:rPr>
        <w:t>SEC’s 2025 Examination Priorities for Investment Advisers</w:t>
      </w:r>
    </w:p>
    <w:p w14:paraId="36F0539C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6832BB" w14:textId="1E48FA0C" w:rsidR="00DC4218" w:rsidRPr="004E75B3" w:rsidRDefault="00D41016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By Scott H. Moss, Michael J. Scales</w:t>
      </w:r>
      <w:r w:rsidR="00BA14EB" w:rsidRPr="004E75B3">
        <w:rPr>
          <w:rFonts w:ascii="Times New Roman" w:hAnsi="Times New Roman" w:cs="Times New Roman"/>
        </w:rPr>
        <w:t>,</w:t>
      </w:r>
      <w:r w:rsidRPr="004E75B3">
        <w:rPr>
          <w:rFonts w:ascii="Times New Roman" w:hAnsi="Times New Roman" w:cs="Times New Roman"/>
        </w:rPr>
        <w:t xml:space="preserve"> and Çagla Yetis</w:t>
      </w:r>
    </w:p>
    <w:p w14:paraId="4C5526F0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CD46E" w14:textId="29BC3C80" w:rsidR="004E3C79" w:rsidRPr="004E75B3" w:rsidRDefault="00D41016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On October 21, </w:t>
      </w:r>
      <w:r w:rsidRPr="004E75B3">
        <w:rPr>
          <w:rFonts w:ascii="Times New Roman" w:hAnsi="Times New Roman" w:cs="Times New Roman"/>
        </w:rPr>
        <w:t xml:space="preserve">2024, </w:t>
      </w:r>
      <w:r w:rsidRPr="004E75B3">
        <w:rPr>
          <w:rFonts w:ascii="Times New Roman" w:hAnsi="Times New Roman" w:cs="Times New Roman"/>
        </w:rPr>
        <w:t>t</w:t>
      </w:r>
      <w:r w:rsidR="000076AD" w:rsidRPr="004E75B3">
        <w:rPr>
          <w:rFonts w:ascii="Times New Roman" w:hAnsi="Times New Roman" w:cs="Times New Roman"/>
        </w:rPr>
        <w:t xml:space="preserve">he U.S. Securities and Exchange Commission (SEC) Division of Examinations (the Division) released its annual </w:t>
      </w:r>
      <w:hyperlink r:id="rId8" w:history="1">
        <w:r w:rsidR="000076AD" w:rsidRPr="004E75B3">
          <w:rPr>
            <w:rStyle w:val="Hyperlink"/>
            <w:rFonts w:ascii="Times New Roman" w:hAnsi="Times New Roman" w:cs="Times New Roman"/>
          </w:rPr>
          <w:t>Examination Priorities</w:t>
        </w:r>
      </w:hyperlink>
      <w:r w:rsidR="000076AD" w:rsidRPr="004E75B3">
        <w:rPr>
          <w:rFonts w:ascii="Times New Roman" w:hAnsi="Times New Roman" w:cs="Times New Roman"/>
        </w:rPr>
        <w:t xml:space="preserve"> for fiscal year 2025 (the Report)</w:t>
      </w:r>
      <w:r w:rsidR="004E3C79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DB62EE" w:rsidRPr="004E75B3">
        <w:rPr>
          <w:rFonts w:ascii="Times New Roman" w:hAnsi="Times New Roman" w:cs="Times New Roman"/>
        </w:rPr>
        <w:t xml:space="preserve">The Report </w:t>
      </w:r>
      <w:r w:rsidR="004A1A92" w:rsidRPr="004E75B3">
        <w:rPr>
          <w:rFonts w:ascii="Times New Roman" w:hAnsi="Times New Roman" w:cs="Times New Roman"/>
        </w:rPr>
        <w:t>identifies certain</w:t>
      </w:r>
      <w:r w:rsidR="00DB62EE" w:rsidRPr="004E75B3">
        <w:rPr>
          <w:rFonts w:ascii="Times New Roman" w:hAnsi="Times New Roman" w:cs="Times New Roman"/>
        </w:rPr>
        <w:t xml:space="preserve"> </w:t>
      </w:r>
      <w:r w:rsidR="004A1A92" w:rsidRPr="004E75B3">
        <w:rPr>
          <w:rFonts w:ascii="Times New Roman" w:hAnsi="Times New Roman" w:cs="Times New Roman"/>
        </w:rPr>
        <w:t>critical risk</w:t>
      </w:r>
      <w:r w:rsidR="00DB62EE" w:rsidRPr="004E75B3">
        <w:rPr>
          <w:rFonts w:ascii="Times New Roman" w:hAnsi="Times New Roman" w:cs="Times New Roman"/>
        </w:rPr>
        <w:t xml:space="preserve"> areas where the </w:t>
      </w:r>
      <w:r w:rsidR="00C62003" w:rsidRPr="004E75B3">
        <w:rPr>
          <w:rFonts w:ascii="Times New Roman" w:hAnsi="Times New Roman" w:cs="Times New Roman"/>
        </w:rPr>
        <w:t>Division</w:t>
      </w:r>
      <w:r w:rsidR="00DB62EE" w:rsidRPr="004E75B3">
        <w:rPr>
          <w:rFonts w:ascii="Times New Roman" w:hAnsi="Times New Roman" w:cs="Times New Roman"/>
        </w:rPr>
        <w:t xml:space="preserve"> </w:t>
      </w:r>
      <w:r w:rsidR="00C62003" w:rsidRPr="004E75B3">
        <w:rPr>
          <w:rFonts w:ascii="Times New Roman" w:hAnsi="Times New Roman" w:cs="Times New Roman"/>
        </w:rPr>
        <w:t>may</w:t>
      </w:r>
      <w:r w:rsidR="00DB62EE" w:rsidRPr="004E75B3">
        <w:rPr>
          <w:rFonts w:ascii="Times New Roman" w:hAnsi="Times New Roman" w:cs="Times New Roman"/>
        </w:rPr>
        <w:t xml:space="preserve"> focus its resources </w:t>
      </w:r>
      <w:r w:rsidR="00340AB9" w:rsidRPr="004E75B3">
        <w:rPr>
          <w:rFonts w:ascii="Times New Roman" w:hAnsi="Times New Roman" w:cs="Times New Roman"/>
        </w:rPr>
        <w:t>in</w:t>
      </w:r>
      <w:r w:rsidR="00DB62EE" w:rsidRPr="004E75B3">
        <w:rPr>
          <w:rFonts w:ascii="Times New Roman" w:hAnsi="Times New Roman" w:cs="Times New Roman"/>
        </w:rPr>
        <w:t xml:space="preserve"> </w:t>
      </w:r>
      <w:r w:rsidR="001A7F85" w:rsidRPr="004E75B3">
        <w:rPr>
          <w:rFonts w:ascii="Times New Roman" w:hAnsi="Times New Roman" w:cs="Times New Roman"/>
        </w:rPr>
        <w:t>the upcoming year</w:t>
      </w:r>
      <w:r w:rsidR="00DB62EE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340AB9" w:rsidRPr="004E75B3">
        <w:rPr>
          <w:rFonts w:ascii="Times New Roman" w:hAnsi="Times New Roman" w:cs="Times New Roman"/>
        </w:rPr>
        <w:t xml:space="preserve">Though the Report addresses risks applicable to a number </w:t>
      </w:r>
      <w:r w:rsidR="00F03D1C" w:rsidRPr="004E75B3">
        <w:rPr>
          <w:rFonts w:ascii="Times New Roman" w:hAnsi="Times New Roman" w:cs="Times New Roman"/>
        </w:rPr>
        <w:t xml:space="preserve">of financial market participants, this </w:t>
      </w:r>
      <w:r w:rsidR="00DA13BF" w:rsidRPr="004E75B3">
        <w:rPr>
          <w:rFonts w:ascii="Times New Roman" w:hAnsi="Times New Roman" w:cs="Times New Roman"/>
        </w:rPr>
        <w:t>Client A</w:t>
      </w:r>
      <w:r w:rsidR="00F03D1C" w:rsidRPr="004E75B3">
        <w:rPr>
          <w:rFonts w:ascii="Times New Roman" w:hAnsi="Times New Roman" w:cs="Times New Roman"/>
        </w:rPr>
        <w:t xml:space="preserve">lert focuses on priorities relevant </w:t>
      </w:r>
      <w:r w:rsidR="00340AB9" w:rsidRPr="004E75B3">
        <w:rPr>
          <w:rFonts w:ascii="Times New Roman" w:hAnsi="Times New Roman" w:cs="Times New Roman"/>
        </w:rPr>
        <w:t>to</w:t>
      </w:r>
      <w:r w:rsidR="00F03D1C" w:rsidRPr="004E75B3">
        <w:rPr>
          <w:rFonts w:ascii="Times New Roman" w:hAnsi="Times New Roman" w:cs="Times New Roman"/>
        </w:rPr>
        <w:t xml:space="preserve"> </w:t>
      </w:r>
      <w:r w:rsidR="00340AB9" w:rsidRPr="004E75B3">
        <w:rPr>
          <w:rFonts w:ascii="Times New Roman" w:hAnsi="Times New Roman" w:cs="Times New Roman"/>
        </w:rPr>
        <w:t>SEC-</w:t>
      </w:r>
      <w:r w:rsidR="00F03D1C" w:rsidRPr="004E75B3">
        <w:rPr>
          <w:rFonts w:ascii="Times New Roman" w:hAnsi="Times New Roman" w:cs="Times New Roman"/>
        </w:rPr>
        <w:t>registered investment advisers.</w:t>
      </w:r>
    </w:p>
    <w:p w14:paraId="75D93D33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C6F3EF" w14:textId="36F27936" w:rsidR="00CD7DEF" w:rsidRPr="004E75B3" w:rsidRDefault="00CD7DEF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5B3">
        <w:rPr>
          <w:rFonts w:ascii="Times New Roman" w:hAnsi="Times New Roman" w:cs="Times New Roman"/>
          <w:b/>
          <w:bCs/>
        </w:rPr>
        <w:t xml:space="preserve">Adherence to </w:t>
      </w:r>
      <w:r w:rsidRPr="004E75B3">
        <w:rPr>
          <w:rFonts w:ascii="Times New Roman" w:hAnsi="Times New Roman" w:cs="Times New Roman"/>
          <w:b/>
          <w:bCs/>
        </w:rPr>
        <w:t>F</w:t>
      </w:r>
      <w:r w:rsidRPr="004E75B3">
        <w:rPr>
          <w:rFonts w:ascii="Times New Roman" w:hAnsi="Times New Roman" w:cs="Times New Roman"/>
          <w:b/>
          <w:bCs/>
        </w:rPr>
        <w:t xml:space="preserve">iduciary </w:t>
      </w:r>
      <w:r w:rsidRPr="004E75B3">
        <w:rPr>
          <w:rFonts w:ascii="Times New Roman" w:hAnsi="Times New Roman" w:cs="Times New Roman"/>
          <w:b/>
          <w:bCs/>
        </w:rPr>
        <w:t>S</w:t>
      </w:r>
      <w:r w:rsidRPr="004E75B3">
        <w:rPr>
          <w:rFonts w:ascii="Times New Roman" w:hAnsi="Times New Roman" w:cs="Times New Roman"/>
          <w:b/>
          <w:bCs/>
        </w:rPr>
        <w:t xml:space="preserve">tandards of </w:t>
      </w:r>
      <w:r w:rsidRPr="004E75B3">
        <w:rPr>
          <w:rFonts w:ascii="Times New Roman" w:hAnsi="Times New Roman" w:cs="Times New Roman"/>
          <w:b/>
          <w:bCs/>
        </w:rPr>
        <w:t>C</w:t>
      </w:r>
      <w:r w:rsidRPr="004E75B3">
        <w:rPr>
          <w:rFonts w:ascii="Times New Roman" w:hAnsi="Times New Roman" w:cs="Times New Roman"/>
          <w:b/>
          <w:bCs/>
        </w:rPr>
        <w:t>onduct</w:t>
      </w:r>
    </w:p>
    <w:p w14:paraId="7F7D92CE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6A9CA" w14:textId="00500C19" w:rsidR="00151A53" w:rsidRPr="004E75B3" w:rsidRDefault="00B36892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The Report </w:t>
      </w:r>
      <w:r w:rsidR="00CD7DEF" w:rsidRPr="004E75B3">
        <w:rPr>
          <w:rFonts w:ascii="Times New Roman" w:hAnsi="Times New Roman" w:cs="Times New Roman"/>
        </w:rPr>
        <w:t xml:space="preserve">first </w:t>
      </w:r>
      <w:r w:rsidRPr="004E75B3">
        <w:rPr>
          <w:rFonts w:ascii="Times New Roman" w:hAnsi="Times New Roman" w:cs="Times New Roman"/>
        </w:rPr>
        <w:t>underlines the dut</w:t>
      </w:r>
      <w:r w:rsidR="00A23A19" w:rsidRPr="004E75B3">
        <w:rPr>
          <w:rFonts w:ascii="Times New Roman" w:hAnsi="Times New Roman" w:cs="Times New Roman"/>
        </w:rPr>
        <w:t>ies</w:t>
      </w:r>
      <w:r w:rsidRPr="004E75B3">
        <w:rPr>
          <w:rFonts w:ascii="Times New Roman" w:hAnsi="Times New Roman" w:cs="Times New Roman"/>
        </w:rPr>
        <w:t xml:space="preserve"> of care and loyalty</w:t>
      </w:r>
      <w:r w:rsidR="00A23A19" w:rsidRPr="004E75B3">
        <w:rPr>
          <w:rFonts w:ascii="Times New Roman" w:hAnsi="Times New Roman" w:cs="Times New Roman"/>
        </w:rPr>
        <w:t xml:space="preserve"> that</w:t>
      </w:r>
      <w:r w:rsidRPr="004E75B3">
        <w:rPr>
          <w:rFonts w:ascii="Times New Roman" w:hAnsi="Times New Roman" w:cs="Times New Roman"/>
        </w:rPr>
        <w:t xml:space="preserve"> investment advisers owe to their clients</w:t>
      </w:r>
      <w:r w:rsidR="00AA692F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AA692F" w:rsidRPr="004E75B3">
        <w:rPr>
          <w:rFonts w:ascii="Times New Roman" w:hAnsi="Times New Roman" w:cs="Times New Roman"/>
        </w:rPr>
        <w:t>As fiduciar</w:t>
      </w:r>
      <w:r w:rsidR="00A23A19" w:rsidRPr="004E75B3">
        <w:rPr>
          <w:rFonts w:ascii="Times New Roman" w:hAnsi="Times New Roman" w:cs="Times New Roman"/>
        </w:rPr>
        <w:t>ies</w:t>
      </w:r>
      <w:r w:rsidR="00AA692F" w:rsidRPr="004E75B3">
        <w:rPr>
          <w:rFonts w:ascii="Times New Roman" w:hAnsi="Times New Roman" w:cs="Times New Roman"/>
        </w:rPr>
        <w:t xml:space="preserve">, advisers must always serve the best interests of their clients and never place their own interests ahead of </w:t>
      </w:r>
      <w:r w:rsidR="00A23A19" w:rsidRPr="004E75B3">
        <w:rPr>
          <w:rFonts w:ascii="Times New Roman" w:hAnsi="Times New Roman" w:cs="Times New Roman"/>
        </w:rPr>
        <w:t>their clients’ interests</w:t>
      </w:r>
      <w:r w:rsidR="00AA692F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AA692F" w:rsidRPr="004E75B3">
        <w:rPr>
          <w:rFonts w:ascii="Times New Roman" w:hAnsi="Times New Roman" w:cs="Times New Roman"/>
        </w:rPr>
        <w:t>Advisers must also</w:t>
      </w:r>
      <w:r w:rsidR="00A23A19" w:rsidRPr="004E75B3">
        <w:rPr>
          <w:rFonts w:ascii="Times New Roman" w:hAnsi="Times New Roman" w:cs="Times New Roman"/>
        </w:rPr>
        <w:t xml:space="preserve"> eliminate</w:t>
      </w:r>
      <w:r w:rsidR="001A7F85" w:rsidRPr="004E75B3">
        <w:rPr>
          <w:rFonts w:ascii="Times New Roman" w:hAnsi="Times New Roman" w:cs="Times New Roman"/>
        </w:rPr>
        <w:t>,</w:t>
      </w:r>
      <w:r w:rsidR="00A23A19" w:rsidRPr="004E75B3">
        <w:rPr>
          <w:rFonts w:ascii="Times New Roman" w:hAnsi="Times New Roman" w:cs="Times New Roman"/>
        </w:rPr>
        <w:t xml:space="preserve"> or</w:t>
      </w:r>
      <w:r w:rsidR="00AA692F" w:rsidRPr="004E75B3">
        <w:rPr>
          <w:rFonts w:ascii="Times New Roman" w:hAnsi="Times New Roman" w:cs="Times New Roman"/>
        </w:rPr>
        <w:t xml:space="preserve"> make full and fair disclosures of</w:t>
      </w:r>
      <w:r w:rsidR="001A7F85" w:rsidRPr="004E75B3">
        <w:rPr>
          <w:rFonts w:ascii="Times New Roman" w:hAnsi="Times New Roman" w:cs="Times New Roman"/>
        </w:rPr>
        <w:t>,</w:t>
      </w:r>
      <w:r w:rsidR="00AA692F" w:rsidRPr="004E75B3">
        <w:rPr>
          <w:rFonts w:ascii="Times New Roman" w:hAnsi="Times New Roman" w:cs="Times New Roman"/>
        </w:rPr>
        <w:t xml:space="preserve"> conflict</w:t>
      </w:r>
      <w:r w:rsidR="00D0163E" w:rsidRPr="004E75B3">
        <w:rPr>
          <w:rFonts w:ascii="Times New Roman" w:hAnsi="Times New Roman" w:cs="Times New Roman"/>
        </w:rPr>
        <w:t xml:space="preserve">s of interest to ensure </w:t>
      </w:r>
      <w:r w:rsidR="00EA7A8E" w:rsidRPr="004E75B3">
        <w:rPr>
          <w:rFonts w:ascii="Times New Roman" w:hAnsi="Times New Roman" w:cs="Times New Roman"/>
        </w:rPr>
        <w:t xml:space="preserve">that </w:t>
      </w:r>
      <w:r w:rsidR="00D0163E" w:rsidRPr="004E75B3">
        <w:rPr>
          <w:rFonts w:ascii="Times New Roman" w:hAnsi="Times New Roman" w:cs="Times New Roman"/>
        </w:rPr>
        <w:t xml:space="preserve">they continue </w:t>
      </w:r>
      <w:r w:rsidR="00EA7A8E" w:rsidRPr="004E75B3">
        <w:rPr>
          <w:rFonts w:ascii="Times New Roman" w:hAnsi="Times New Roman" w:cs="Times New Roman"/>
        </w:rPr>
        <w:t xml:space="preserve">to </w:t>
      </w:r>
      <w:r w:rsidR="00D0163E" w:rsidRPr="004E75B3">
        <w:rPr>
          <w:rFonts w:ascii="Times New Roman" w:hAnsi="Times New Roman" w:cs="Times New Roman"/>
        </w:rPr>
        <w:t xml:space="preserve">render disinterested advice to their clients. </w:t>
      </w:r>
    </w:p>
    <w:p w14:paraId="6E7AB207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A0219" w14:textId="3F29C9CD" w:rsidR="00AA692F" w:rsidRPr="004E75B3" w:rsidRDefault="00D0163E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Specifically, the Division </w:t>
      </w:r>
      <w:r w:rsidR="001A7F85" w:rsidRPr="004E75B3">
        <w:rPr>
          <w:rFonts w:ascii="Times New Roman" w:hAnsi="Times New Roman" w:cs="Times New Roman"/>
        </w:rPr>
        <w:t>may</w:t>
      </w:r>
      <w:r w:rsidRPr="004E75B3">
        <w:rPr>
          <w:rFonts w:ascii="Times New Roman" w:hAnsi="Times New Roman" w:cs="Times New Roman"/>
        </w:rPr>
        <w:t xml:space="preserve"> focus on:</w:t>
      </w:r>
    </w:p>
    <w:p w14:paraId="2FB3A600" w14:textId="6727EDA2" w:rsidR="00D0163E" w:rsidRPr="004E75B3" w:rsidRDefault="00D0163E" w:rsidP="003E7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Investment advice related to (1) high-cost products</w:t>
      </w:r>
      <w:r w:rsidR="00D8177A" w:rsidRPr="004E75B3">
        <w:rPr>
          <w:rFonts w:ascii="Times New Roman" w:hAnsi="Times New Roman" w:cs="Times New Roman"/>
        </w:rPr>
        <w:t>,</w:t>
      </w:r>
      <w:r w:rsidRPr="004E75B3">
        <w:rPr>
          <w:rFonts w:ascii="Times New Roman" w:hAnsi="Times New Roman" w:cs="Times New Roman"/>
        </w:rPr>
        <w:t xml:space="preserve"> (2) unconventional instruments</w:t>
      </w:r>
      <w:r w:rsidR="00D8177A" w:rsidRPr="004E75B3">
        <w:rPr>
          <w:rFonts w:ascii="Times New Roman" w:hAnsi="Times New Roman" w:cs="Times New Roman"/>
        </w:rPr>
        <w:t>,</w:t>
      </w:r>
      <w:r w:rsidRPr="004E75B3">
        <w:rPr>
          <w:rFonts w:ascii="Times New Roman" w:hAnsi="Times New Roman" w:cs="Times New Roman"/>
        </w:rPr>
        <w:t xml:space="preserve"> (3) illiquid and difficult-to-value assets</w:t>
      </w:r>
      <w:r w:rsidR="00D8177A" w:rsidRPr="004E75B3">
        <w:rPr>
          <w:rFonts w:ascii="Times New Roman" w:hAnsi="Times New Roman" w:cs="Times New Roman"/>
        </w:rPr>
        <w:t>,</w:t>
      </w:r>
      <w:r w:rsidRPr="004E75B3">
        <w:rPr>
          <w:rFonts w:ascii="Times New Roman" w:hAnsi="Times New Roman" w:cs="Times New Roman"/>
        </w:rPr>
        <w:t xml:space="preserve"> and (4) assets sensitive to higher interest rates or changing market conditions, including commercial real estate</w:t>
      </w:r>
    </w:p>
    <w:p w14:paraId="58C61ECF" w14:textId="76546071" w:rsidR="00D0163E" w:rsidRPr="004E75B3" w:rsidRDefault="00D0163E" w:rsidP="003E7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Dual registrants and advisers with affiliated broker-dealers </w:t>
      </w:r>
      <w:r w:rsidR="00151A53" w:rsidRPr="004E75B3">
        <w:rPr>
          <w:rFonts w:ascii="Times New Roman" w:hAnsi="Times New Roman" w:cs="Times New Roman"/>
        </w:rPr>
        <w:t xml:space="preserve">by </w:t>
      </w:r>
      <w:r w:rsidRPr="004E75B3">
        <w:rPr>
          <w:rFonts w:ascii="Times New Roman" w:hAnsi="Times New Roman" w:cs="Times New Roman"/>
        </w:rPr>
        <w:t xml:space="preserve">(1) </w:t>
      </w:r>
      <w:r w:rsidR="00151A53" w:rsidRPr="004E75B3">
        <w:rPr>
          <w:rFonts w:ascii="Times New Roman" w:hAnsi="Times New Roman" w:cs="Times New Roman"/>
        </w:rPr>
        <w:t>assessing</w:t>
      </w:r>
      <w:r w:rsidR="00DF2C56" w:rsidRPr="004E75B3">
        <w:rPr>
          <w:rFonts w:ascii="Times New Roman" w:hAnsi="Times New Roman" w:cs="Times New Roman"/>
        </w:rPr>
        <w:t xml:space="preserve"> investment advice and</w:t>
      </w:r>
      <w:r w:rsidRPr="004E75B3">
        <w:rPr>
          <w:rFonts w:ascii="Times New Roman" w:hAnsi="Times New Roman" w:cs="Times New Roman"/>
        </w:rPr>
        <w:t xml:space="preserve"> recommendations regarding certain products to </w:t>
      </w:r>
      <w:r w:rsidR="00DF2C56" w:rsidRPr="004E75B3">
        <w:rPr>
          <w:rFonts w:ascii="Times New Roman" w:hAnsi="Times New Roman" w:cs="Times New Roman"/>
        </w:rPr>
        <w:t>determine</w:t>
      </w:r>
      <w:r w:rsidRPr="004E75B3">
        <w:rPr>
          <w:rFonts w:ascii="Times New Roman" w:hAnsi="Times New Roman" w:cs="Times New Roman"/>
        </w:rPr>
        <w:t xml:space="preserve"> their suitability for clients’ advisory accounts</w:t>
      </w:r>
      <w:r w:rsidR="00D8177A" w:rsidRPr="004E75B3">
        <w:rPr>
          <w:rFonts w:ascii="Times New Roman" w:hAnsi="Times New Roman" w:cs="Times New Roman"/>
        </w:rPr>
        <w:t>,</w:t>
      </w:r>
      <w:r w:rsidR="000E12A1" w:rsidRPr="004E75B3">
        <w:rPr>
          <w:rFonts w:ascii="Times New Roman" w:hAnsi="Times New Roman" w:cs="Times New Roman"/>
        </w:rPr>
        <w:t xml:space="preserve"> (2) reviewing disclosures made to clients regarding the capacity in which the recommendations are made</w:t>
      </w:r>
      <w:r w:rsidR="00D8177A" w:rsidRPr="004E75B3">
        <w:rPr>
          <w:rFonts w:ascii="Times New Roman" w:hAnsi="Times New Roman" w:cs="Times New Roman"/>
        </w:rPr>
        <w:t>,</w:t>
      </w:r>
      <w:r w:rsidR="000E12A1" w:rsidRPr="004E75B3">
        <w:rPr>
          <w:rFonts w:ascii="Times New Roman" w:hAnsi="Times New Roman" w:cs="Times New Roman"/>
        </w:rPr>
        <w:t xml:space="preserve"> (3) </w:t>
      </w:r>
      <w:r w:rsidR="00DF2C56" w:rsidRPr="004E75B3">
        <w:rPr>
          <w:rFonts w:ascii="Times New Roman" w:hAnsi="Times New Roman" w:cs="Times New Roman"/>
        </w:rPr>
        <w:t>determining whether</w:t>
      </w:r>
      <w:r w:rsidR="000E12A1" w:rsidRPr="004E75B3">
        <w:rPr>
          <w:rFonts w:ascii="Times New Roman" w:hAnsi="Times New Roman" w:cs="Times New Roman"/>
        </w:rPr>
        <w:t xml:space="preserve"> account selection practices are appropriate, such as choosing</w:t>
      </w:r>
      <w:r w:rsidR="00DF2C56" w:rsidRPr="004E75B3">
        <w:rPr>
          <w:rFonts w:ascii="Times New Roman" w:hAnsi="Times New Roman" w:cs="Times New Roman"/>
        </w:rPr>
        <w:t xml:space="preserve"> whether to open a</w:t>
      </w:r>
      <w:r w:rsidR="000E12A1" w:rsidRPr="004E75B3">
        <w:rPr>
          <w:rFonts w:ascii="Times New Roman" w:hAnsi="Times New Roman" w:cs="Times New Roman"/>
        </w:rPr>
        <w:t xml:space="preserve"> brokerage versus </w:t>
      </w:r>
      <w:r w:rsidR="00DF2C56" w:rsidRPr="004E75B3">
        <w:rPr>
          <w:rFonts w:ascii="Times New Roman" w:hAnsi="Times New Roman" w:cs="Times New Roman"/>
        </w:rPr>
        <w:t xml:space="preserve">an </w:t>
      </w:r>
      <w:r w:rsidR="000E12A1" w:rsidRPr="004E75B3">
        <w:rPr>
          <w:rFonts w:ascii="Times New Roman" w:hAnsi="Times New Roman" w:cs="Times New Roman"/>
        </w:rPr>
        <w:t>advisory</w:t>
      </w:r>
      <w:r w:rsidR="00DF2C56" w:rsidRPr="004E75B3">
        <w:rPr>
          <w:rFonts w:ascii="Times New Roman" w:hAnsi="Times New Roman" w:cs="Times New Roman"/>
        </w:rPr>
        <w:t xml:space="preserve"> account</w:t>
      </w:r>
      <w:r w:rsidR="00D8177A" w:rsidRPr="004E75B3">
        <w:rPr>
          <w:rFonts w:ascii="Times New Roman" w:hAnsi="Times New Roman" w:cs="Times New Roman"/>
        </w:rPr>
        <w:t>,</w:t>
      </w:r>
      <w:r w:rsidR="000E12A1" w:rsidRPr="004E75B3">
        <w:rPr>
          <w:rFonts w:ascii="Times New Roman" w:hAnsi="Times New Roman" w:cs="Times New Roman"/>
        </w:rPr>
        <w:t xml:space="preserve"> and (4) assessing whether </w:t>
      </w:r>
      <w:r w:rsidR="00DF2C56" w:rsidRPr="004E75B3">
        <w:rPr>
          <w:rFonts w:ascii="Times New Roman" w:hAnsi="Times New Roman" w:cs="Times New Roman"/>
        </w:rPr>
        <w:t xml:space="preserve">such </w:t>
      </w:r>
      <w:r w:rsidR="000E12A1" w:rsidRPr="004E75B3">
        <w:rPr>
          <w:rFonts w:ascii="Times New Roman" w:hAnsi="Times New Roman" w:cs="Times New Roman"/>
        </w:rPr>
        <w:t>advisers mitigate and disclose conflicts of interest adequately and fairly</w:t>
      </w:r>
    </w:p>
    <w:p w14:paraId="501496B5" w14:textId="36AD03AC" w:rsidR="000E12A1" w:rsidRPr="004E75B3" w:rsidRDefault="00EE5B99" w:rsidP="003E7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How</w:t>
      </w:r>
      <w:r w:rsidR="000E12A1" w:rsidRPr="004E75B3">
        <w:rPr>
          <w:rFonts w:ascii="Times New Roman" w:hAnsi="Times New Roman" w:cs="Times New Roman"/>
        </w:rPr>
        <w:t xml:space="preserve"> financial conflicts of interest</w:t>
      </w:r>
      <w:r w:rsidRPr="004E75B3">
        <w:rPr>
          <w:rFonts w:ascii="Times New Roman" w:hAnsi="Times New Roman" w:cs="Times New Roman"/>
        </w:rPr>
        <w:t xml:space="preserve"> may impact an adviser’s ability to</w:t>
      </w:r>
      <w:r w:rsidR="000E12A1" w:rsidRPr="004E75B3">
        <w:rPr>
          <w:rFonts w:ascii="Times New Roman" w:hAnsi="Times New Roman" w:cs="Times New Roman"/>
        </w:rPr>
        <w:t xml:space="preserve"> provid</w:t>
      </w:r>
      <w:r w:rsidRPr="004E75B3">
        <w:rPr>
          <w:rFonts w:ascii="Times New Roman" w:hAnsi="Times New Roman" w:cs="Times New Roman"/>
        </w:rPr>
        <w:t>e</w:t>
      </w:r>
      <w:r w:rsidR="000E12A1" w:rsidRPr="004E75B3">
        <w:rPr>
          <w:rFonts w:ascii="Times New Roman" w:hAnsi="Times New Roman" w:cs="Times New Roman"/>
        </w:rPr>
        <w:t xml:space="preserve"> impartial advice and best execution</w:t>
      </w:r>
      <w:r w:rsidRPr="004E75B3">
        <w:rPr>
          <w:rFonts w:ascii="Times New Roman" w:hAnsi="Times New Roman" w:cs="Times New Roman"/>
        </w:rPr>
        <w:t>, especially in the context of nonstandard fee arrangements</w:t>
      </w:r>
    </w:p>
    <w:p w14:paraId="2205E62D" w14:textId="77777777" w:rsidR="003E7966" w:rsidRPr="004E75B3" w:rsidRDefault="003E7966" w:rsidP="003E7966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019EAB" w14:textId="5CE136FD" w:rsidR="000E12A1" w:rsidRPr="004E75B3" w:rsidRDefault="000E12A1" w:rsidP="003E7966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5B3">
        <w:rPr>
          <w:rFonts w:ascii="Times New Roman" w:hAnsi="Times New Roman" w:cs="Times New Roman"/>
          <w:b/>
          <w:bCs/>
        </w:rPr>
        <w:t xml:space="preserve">Effectiveness of </w:t>
      </w:r>
      <w:r w:rsidRPr="004E75B3">
        <w:rPr>
          <w:rFonts w:ascii="Times New Roman" w:hAnsi="Times New Roman" w:cs="Times New Roman"/>
          <w:b/>
          <w:bCs/>
        </w:rPr>
        <w:t>A</w:t>
      </w:r>
      <w:r w:rsidRPr="004E75B3">
        <w:rPr>
          <w:rFonts w:ascii="Times New Roman" w:hAnsi="Times New Roman" w:cs="Times New Roman"/>
          <w:b/>
          <w:bCs/>
        </w:rPr>
        <w:t xml:space="preserve">dvisers’ </w:t>
      </w:r>
      <w:r w:rsidRPr="004E75B3">
        <w:rPr>
          <w:rFonts w:ascii="Times New Roman" w:hAnsi="Times New Roman" w:cs="Times New Roman"/>
          <w:b/>
          <w:bCs/>
        </w:rPr>
        <w:t>C</w:t>
      </w:r>
      <w:r w:rsidRPr="004E75B3">
        <w:rPr>
          <w:rFonts w:ascii="Times New Roman" w:hAnsi="Times New Roman" w:cs="Times New Roman"/>
          <w:b/>
          <w:bCs/>
        </w:rPr>
        <w:t xml:space="preserve">ompliance </w:t>
      </w:r>
      <w:r w:rsidRPr="004E75B3">
        <w:rPr>
          <w:rFonts w:ascii="Times New Roman" w:hAnsi="Times New Roman" w:cs="Times New Roman"/>
          <w:b/>
          <w:bCs/>
        </w:rPr>
        <w:t>P</w:t>
      </w:r>
      <w:r w:rsidRPr="004E75B3">
        <w:rPr>
          <w:rFonts w:ascii="Times New Roman" w:hAnsi="Times New Roman" w:cs="Times New Roman"/>
          <w:b/>
          <w:bCs/>
        </w:rPr>
        <w:t>rograms</w:t>
      </w:r>
    </w:p>
    <w:p w14:paraId="4FCDD1C6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AEC34" w14:textId="19B35F8B" w:rsidR="00700430" w:rsidRPr="004E75B3" w:rsidRDefault="000E12A1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The Division continues to </w:t>
      </w:r>
      <w:r w:rsidR="00700430" w:rsidRPr="004E75B3">
        <w:rPr>
          <w:rFonts w:ascii="Times New Roman" w:hAnsi="Times New Roman" w:cs="Times New Roman"/>
        </w:rPr>
        <w:t>assess</w:t>
      </w:r>
      <w:r w:rsidRPr="004E75B3">
        <w:rPr>
          <w:rFonts w:ascii="Times New Roman" w:hAnsi="Times New Roman" w:cs="Times New Roman"/>
        </w:rPr>
        <w:t xml:space="preserve"> the effectiveness of advisers’ compliance programs pursuant to Rule 206(4)-7</w:t>
      </w:r>
      <w:r w:rsidR="00F10EDA" w:rsidRPr="004E75B3">
        <w:rPr>
          <w:rFonts w:ascii="Times New Roman" w:hAnsi="Times New Roman" w:cs="Times New Roman"/>
        </w:rPr>
        <w:t xml:space="preserve"> </w:t>
      </w:r>
      <w:r w:rsidRPr="004E75B3">
        <w:rPr>
          <w:rFonts w:ascii="Times New Roman" w:hAnsi="Times New Roman" w:cs="Times New Roman"/>
        </w:rPr>
        <w:t>under the Investment Advisers Act of 1940</w:t>
      </w:r>
      <w:r w:rsidRPr="004E75B3">
        <w:rPr>
          <w:rFonts w:ascii="Times New Roman" w:hAnsi="Times New Roman" w:cs="Times New Roman"/>
        </w:rPr>
        <w:t xml:space="preserve"> (the Advisers Act)</w:t>
      </w:r>
      <w:r w:rsidR="00F10EDA" w:rsidRPr="004E75B3">
        <w:rPr>
          <w:rFonts w:ascii="Times New Roman" w:hAnsi="Times New Roman" w:cs="Times New Roman"/>
        </w:rPr>
        <w:t xml:space="preserve">, commonly known as the Compliance </w:t>
      </w:r>
      <w:r w:rsidR="001A7F85" w:rsidRPr="004E75B3">
        <w:rPr>
          <w:rFonts w:ascii="Times New Roman" w:hAnsi="Times New Roman" w:cs="Times New Roman"/>
        </w:rPr>
        <w:t>R</w:t>
      </w:r>
      <w:r w:rsidR="00F10EDA" w:rsidRPr="004E75B3">
        <w:rPr>
          <w:rFonts w:ascii="Times New Roman" w:hAnsi="Times New Roman" w:cs="Times New Roman"/>
        </w:rPr>
        <w:t>ule</w:t>
      </w:r>
      <w:r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Pr="004E75B3">
        <w:rPr>
          <w:rFonts w:ascii="Times New Roman" w:hAnsi="Times New Roman" w:cs="Times New Roman"/>
        </w:rPr>
        <w:t>Under th</w:t>
      </w:r>
      <w:r w:rsidR="00EE5B99" w:rsidRPr="004E75B3">
        <w:rPr>
          <w:rFonts w:ascii="Times New Roman" w:hAnsi="Times New Roman" w:cs="Times New Roman"/>
        </w:rPr>
        <w:t>e Compliance Rule</w:t>
      </w:r>
      <w:r w:rsidRPr="004E75B3">
        <w:rPr>
          <w:rFonts w:ascii="Times New Roman" w:hAnsi="Times New Roman" w:cs="Times New Roman"/>
        </w:rPr>
        <w:t>, SEC-registered investment advisers must (1) adopt and implement written policies and procedures</w:t>
      </w:r>
      <w:r w:rsidR="00EE5B99" w:rsidRPr="004E75B3">
        <w:rPr>
          <w:rFonts w:ascii="Times New Roman" w:hAnsi="Times New Roman" w:cs="Times New Roman"/>
        </w:rPr>
        <w:t xml:space="preserve"> that are</w:t>
      </w:r>
      <w:r w:rsidRPr="004E75B3">
        <w:rPr>
          <w:rFonts w:ascii="Times New Roman" w:hAnsi="Times New Roman" w:cs="Times New Roman"/>
        </w:rPr>
        <w:t xml:space="preserve"> reasonably </w:t>
      </w:r>
      <w:r w:rsidR="00EE5B99" w:rsidRPr="004E75B3">
        <w:rPr>
          <w:rFonts w:ascii="Times New Roman" w:hAnsi="Times New Roman" w:cs="Times New Roman"/>
        </w:rPr>
        <w:t xml:space="preserve">designed to </w:t>
      </w:r>
      <w:r w:rsidRPr="004E75B3">
        <w:rPr>
          <w:rFonts w:ascii="Times New Roman" w:hAnsi="Times New Roman" w:cs="Times New Roman"/>
        </w:rPr>
        <w:t>prevent violations of the Advisers Act</w:t>
      </w:r>
      <w:r w:rsidR="00D5505C" w:rsidRPr="004E75B3">
        <w:rPr>
          <w:rFonts w:ascii="Times New Roman" w:hAnsi="Times New Roman" w:cs="Times New Roman"/>
        </w:rPr>
        <w:t>,</w:t>
      </w:r>
      <w:r w:rsidR="00700430" w:rsidRPr="004E75B3">
        <w:rPr>
          <w:rFonts w:ascii="Times New Roman" w:hAnsi="Times New Roman" w:cs="Times New Roman"/>
        </w:rPr>
        <w:t xml:space="preserve"> (2) designate a </w:t>
      </w:r>
      <w:r w:rsidR="00A230FA" w:rsidRPr="004E75B3">
        <w:rPr>
          <w:rFonts w:ascii="Times New Roman" w:hAnsi="Times New Roman" w:cs="Times New Roman"/>
        </w:rPr>
        <w:t>c</w:t>
      </w:r>
      <w:r w:rsidR="00700430" w:rsidRPr="004E75B3">
        <w:rPr>
          <w:rFonts w:ascii="Times New Roman" w:hAnsi="Times New Roman" w:cs="Times New Roman"/>
        </w:rPr>
        <w:t xml:space="preserve">hief </w:t>
      </w:r>
      <w:r w:rsidR="00A230FA" w:rsidRPr="004E75B3">
        <w:rPr>
          <w:rFonts w:ascii="Times New Roman" w:hAnsi="Times New Roman" w:cs="Times New Roman"/>
        </w:rPr>
        <w:t>c</w:t>
      </w:r>
      <w:r w:rsidR="00700430" w:rsidRPr="004E75B3">
        <w:rPr>
          <w:rFonts w:ascii="Times New Roman" w:hAnsi="Times New Roman" w:cs="Times New Roman"/>
        </w:rPr>
        <w:t xml:space="preserve">ompliance </w:t>
      </w:r>
      <w:r w:rsidR="00A230FA" w:rsidRPr="004E75B3">
        <w:rPr>
          <w:rFonts w:ascii="Times New Roman" w:hAnsi="Times New Roman" w:cs="Times New Roman"/>
        </w:rPr>
        <w:t>o</w:t>
      </w:r>
      <w:r w:rsidR="00700430" w:rsidRPr="004E75B3">
        <w:rPr>
          <w:rFonts w:ascii="Times New Roman" w:hAnsi="Times New Roman" w:cs="Times New Roman"/>
        </w:rPr>
        <w:t>fficer responsible for administering such policies and procedures</w:t>
      </w:r>
      <w:r w:rsidR="00D5505C" w:rsidRPr="004E75B3">
        <w:rPr>
          <w:rFonts w:ascii="Times New Roman" w:hAnsi="Times New Roman" w:cs="Times New Roman"/>
        </w:rPr>
        <w:t>,</w:t>
      </w:r>
      <w:r w:rsidR="00700430" w:rsidRPr="004E75B3">
        <w:rPr>
          <w:rFonts w:ascii="Times New Roman" w:hAnsi="Times New Roman" w:cs="Times New Roman"/>
        </w:rPr>
        <w:t xml:space="preserve"> and (3) review such policies and procedures at least annually for adequacy and effectiveness.</w:t>
      </w:r>
    </w:p>
    <w:p w14:paraId="51B034DC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BC4DEC" w14:textId="62C7452F" w:rsidR="00A4589B" w:rsidRPr="004E75B3" w:rsidRDefault="002050E6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T</w:t>
      </w:r>
      <w:r w:rsidR="004856DB" w:rsidRPr="004E75B3">
        <w:rPr>
          <w:rFonts w:ascii="Times New Roman" w:hAnsi="Times New Roman" w:cs="Times New Roman"/>
        </w:rPr>
        <w:t>he Report notes that the</w:t>
      </w:r>
      <w:r w:rsidR="00700430" w:rsidRPr="004E75B3">
        <w:rPr>
          <w:rFonts w:ascii="Times New Roman" w:hAnsi="Times New Roman" w:cs="Times New Roman"/>
        </w:rPr>
        <w:t xml:space="preserve"> Division </w:t>
      </w:r>
      <w:r w:rsidR="004856DB" w:rsidRPr="004E75B3">
        <w:rPr>
          <w:rFonts w:ascii="Times New Roman" w:hAnsi="Times New Roman" w:cs="Times New Roman"/>
        </w:rPr>
        <w:t xml:space="preserve">typically </w:t>
      </w:r>
      <w:r w:rsidR="00700430" w:rsidRPr="004E75B3">
        <w:rPr>
          <w:rFonts w:ascii="Times New Roman" w:hAnsi="Times New Roman" w:cs="Times New Roman"/>
        </w:rPr>
        <w:t xml:space="preserve">focuses </w:t>
      </w:r>
      <w:r w:rsidR="004856DB" w:rsidRPr="004E75B3">
        <w:rPr>
          <w:rFonts w:ascii="Times New Roman" w:hAnsi="Times New Roman" w:cs="Times New Roman"/>
        </w:rPr>
        <w:t xml:space="preserve">its examinations </w:t>
      </w:r>
      <w:r w:rsidR="00700430" w:rsidRPr="004E75B3">
        <w:rPr>
          <w:rFonts w:ascii="Times New Roman" w:hAnsi="Times New Roman" w:cs="Times New Roman"/>
        </w:rPr>
        <w:t xml:space="preserve">on </w:t>
      </w:r>
      <w:r w:rsidR="004856DB" w:rsidRPr="004E75B3">
        <w:rPr>
          <w:rFonts w:ascii="Times New Roman" w:hAnsi="Times New Roman" w:cs="Times New Roman"/>
        </w:rPr>
        <w:t>“</w:t>
      </w:r>
      <w:r w:rsidR="00700430" w:rsidRPr="004E75B3">
        <w:rPr>
          <w:rFonts w:ascii="Times New Roman" w:hAnsi="Times New Roman" w:cs="Times New Roman"/>
        </w:rPr>
        <w:t>core</w:t>
      </w:r>
      <w:r w:rsidR="004856DB" w:rsidRPr="004E75B3">
        <w:rPr>
          <w:rFonts w:ascii="Times New Roman" w:hAnsi="Times New Roman" w:cs="Times New Roman"/>
        </w:rPr>
        <w:t>”</w:t>
      </w:r>
      <w:r w:rsidR="00700430" w:rsidRPr="004E75B3">
        <w:rPr>
          <w:rFonts w:ascii="Times New Roman" w:hAnsi="Times New Roman" w:cs="Times New Roman"/>
        </w:rPr>
        <w:t xml:space="preserve"> areas of advisers’ compliance programs, which include marketing, valuation, trading, portfolio management, disclosure</w:t>
      </w:r>
      <w:r w:rsidR="00D5505C" w:rsidRPr="004E75B3">
        <w:rPr>
          <w:rFonts w:ascii="Times New Roman" w:hAnsi="Times New Roman" w:cs="Times New Roman"/>
        </w:rPr>
        <w:t>s</w:t>
      </w:r>
      <w:r w:rsidR="00700430" w:rsidRPr="004E75B3">
        <w:rPr>
          <w:rFonts w:ascii="Times New Roman" w:hAnsi="Times New Roman" w:cs="Times New Roman"/>
        </w:rPr>
        <w:t xml:space="preserve"> and filings, and custody.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700430" w:rsidRPr="004E75B3">
        <w:rPr>
          <w:rFonts w:ascii="Times New Roman" w:hAnsi="Times New Roman" w:cs="Times New Roman"/>
        </w:rPr>
        <w:t xml:space="preserve">Additionally, </w:t>
      </w:r>
      <w:r w:rsidR="004856DB" w:rsidRPr="004E75B3">
        <w:rPr>
          <w:rFonts w:ascii="Times New Roman" w:hAnsi="Times New Roman" w:cs="Times New Roman"/>
        </w:rPr>
        <w:t>examinations typically include</w:t>
      </w:r>
      <w:r w:rsidR="00700430" w:rsidRPr="004E75B3">
        <w:rPr>
          <w:rFonts w:ascii="Times New Roman" w:hAnsi="Times New Roman" w:cs="Times New Roman"/>
        </w:rPr>
        <w:t xml:space="preserve"> an analysis of the advisers’ annual reviews of the effectiveness of their compliance programs to address and </w:t>
      </w:r>
      <w:r w:rsidR="00700430" w:rsidRPr="004E75B3">
        <w:rPr>
          <w:rFonts w:ascii="Times New Roman" w:hAnsi="Times New Roman" w:cs="Times New Roman"/>
        </w:rPr>
        <w:lastRenderedPageBreak/>
        <w:t xml:space="preserve">monitor conflicts of interest, including those stemming from business and compensation arrangements, arbitration clauses, and party and transaction affiliations. </w:t>
      </w:r>
    </w:p>
    <w:p w14:paraId="57C758A1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6F99C" w14:textId="25F58A4C" w:rsidR="00700430" w:rsidRPr="004E75B3" w:rsidRDefault="00700430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Examinations</w:t>
      </w:r>
      <w:r w:rsidR="00A4589B" w:rsidRPr="004E75B3">
        <w:rPr>
          <w:rFonts w:ascii="Times New Roman" w:hAnsi="Times New Roman" w:cs="Times New Roman"/>
        </w:rPr>
        <w:t xml:space="preserve"> in 2025</w:t>
      </w:r>
      <w:r w:rsidRPr="004E75B3">
        <w:rPr>
          <w:rFonts w:ascii="Times New Roman" w:hAnsi="Times New Roman" w:cs="Times New Roman"/>
        </w:rPr>
        <w:t xml:space="preserve"> may focus on:</w:t>
      </w:r>
    </w:p>
    <w:p w14:paraId="268875E2" w14:textId="0F0CC247" w:rsidR="00700430" w:rsidRPr="004E75B3" w:rsidRDefault="00700430" w:rsidP="003E79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Fiduciary </w:t>
      </w:r>
      <w:r w:rsidR="0092163D" w:rsidRPr="004E75B3">
        <w:rPr>
          <w:rFonts w:ascii="Times New Roman" w:hAnsi="Times New Roman" w:cs="Times New Roman"/>
        </w:rPr>
        <w:t>obligations</w:t>
      </w:r>
      <w:r w:rsidRPr="004E75B3">
        <w:rPr>
          <w:rFonts w:ascii="Times New Roman" w:hAnsi="Times New Roman" w:cs="Times New Roman"/>
        </w:rPr>
        <w:t xml:space="preserve"> of advisers </w:t>
      </w:r>
      <w:r w:rsidR="00E924D6" w:rsidRPr="004E75B3">
        <w:rPr>
          <w:rFonts w:ascii="Times New Roman" w:hAnsi="Times New Roman" w:cs="Times New Roman"/>
        </w:rPr>
        <w:t xml:space="preserve">that </w:t>
      </w:r>
      <w:r w:rsidRPr="004E75B3">
        <w:rPr>
          <w:rFonts w:ascii="Times New Roman" w:hAnsi="Times New Roman" w:cs="Times New Roman"/>
        </w:rPr>
        <w:t>outsourc</w:t>
      </w:r>
      <w:r w:rsidR="00A4589B" w:rsidRPr="004E75B3">
        <w:rPr>
          <w:rFonts w:ascii="Times New Roman" w:hAnsi="Times New Roman" w:cs="Times New Roman"/>
        </w:rPr>
        <w:t>e</w:t>
      </w:r>
      <w:r w:rsidRPr="004E75B3">
        <w:rPr>
          <w:rFonts w:ascii="Times New Roman" w:hAnsi="Times New Roman" w:cs="Times New Roman"/>
        </w:rPr>
        <w:t xml:space="preserve"> investment selection and management</w:t>
      </w:r>
    </w:p>
    <w:p w14:paraId="4A9F8E1D" w14:textId="7785C5BA" w:rsidR="00700430" w:rsidRPr="004E75B3" w:rsidRDefault="00700430" w:rsidP="003E79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Alternative sources of revenue or benefits </w:t>
      </w:r>
      <w:r w:rsidR="00AE346C" w:rsidRPr="004E75B3">
        <w:rPr>
          <w:rFonts w:ascii="Times New Roman" w:hAnsi="Times New Roman" w:cs="Times New Roman"/>
        </w:rPr>
        <w:t xml:space="preserve">that </w:t>
      </w:r>
      <w:r w:rsidRPr="004E75B3">
        <w:rPr>
          <w:rFonts w:ascii="Times New Roman" w:hAnsi="Times New Roman" w:cs="Times New Roman"/>
        </w:rPr>
        <w:t>advisers receive, such as when advisers sell non-</w:t>
      </w:r>
      <w:r w:rsidR="0092163D" w:rsidRPr="004E75B3">
        <w:rPr>
          <w:rFonts w:ascii="Times New Roman" w:hAnsi="Times New Roman" w:cs="Times New Roman"/>
        </w:rPr>
        <w:t>securities-based</w:t>
      </w:r>
      <w:r w:rsidRPr="004E75B3">
        <w:rPr>
          <w:rFonts w:ascii="Times New Roman" w:hAnsi="Times New Roman" w:cs="Times New Roman"/>
        </w:rPr>
        <w:t xml:space="preserve"> products to their clients</w:t>
      </w:r>
    </w:p>
    <w:p w14:paraId="213D4102" w14:textId="61FF69A7" w:rsidR="00700430" w:rsidRPr="004E75B3" w:rsidRDefault="00700430" w:rsidP="003E79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Fee calculations </w:t>
      </w:r>
      <w:r w:rsidR="0092163D" w:rsidRPr="004E75B3">
        <w:rPr>
          <w:rFonts w:ascii="Times New Roman" w:hAnsi="Times New Roman" w:cs="Times New Roman"/>
        </w:rPr>
        <w:t xml:space="preserve">and </w:t>
      </w:r>
      <w:r w:rsidR="00A4589B" w:rsidRPr="004E75B3">
        <w:rPr>
          <w:rFonts w:ascii="Times New Roman" w:hAnsi="Times New Roman" w:cs="Times New Roman"/>
        </w:rPr>
        <w:t>whether</w:t>
      </w:r>
      <w:r w:rsidR="0092163D" w:rsidRPr="004E75B3">
        <w:rPr>
          <w:rFonts w:ascii="Times New Roman" w:hAnsi="Times New Roman" w:cs="Times New Roman"/>
        </w:rPr>
        <w:t xml:space="preserve"> fee-related conflicts</w:t>
      </w:r>
      <w:r w:rsidR="00A4589B" w:rsidRPr="004E75B3">
        <w:rPr>
          <w:rFonts w:ascii="Times New Roman" w:hAnsi="Times New Roman" w:cs="Times New Roman"/>
        </w:rPr>
        <w:t xml:space="preserve"> are</w:t>
      </w:r>
      <w:r w:rsidR="0021433E" w:rsidRPr="004E75B3">
        <w:rPr>
          <w:rFonts w:ascii="Times New Roman" w:hAnsi="Times New Roman" w:cs="Times New Roman"/>
        </w:rPr>
        <w:t xml:space="preserve"> disclosed</w:t>
      </w:r>
      <w:r w:rsidR="0092163D" w:rsidRPr="004E75B3">
        <w:rPr>
          <w:rFonts w:ascii="Times New Roman" w:hAnsi="Times New Roman" w:cs="Times New Roman"/>
        </w:rPr>
        <w:t xml:space="preserve"> in an appropriate and accurate manner</w:t>
      </w:r>
    </w:p>
    <w:p w14:paraId="359BC11E" w14:textId="77777777" w:rsidR="003E7966" w:rsidRPr="004E75B3" w:rsidRDefault="003E7966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21AB8" w14:textId="69D706CC" w:rsidR="0092163D" w:rsidRPr="004E75B3" w:rsidRDefault="0092163D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The Division may choose to </w:t>
      </w:r>
      <w:r w:rsidR="001A7F85" w:rsidRPr="004E75B3">
        <w:rPr>
          <w:rFonts w:ascii="Times New Roman" w:hAnsi="Times New Roman" w:cs="Times New Roman"/>
        </w:rPr>
        <w:t xml:space="preserve">further investigate any of these areas </w:t>
      </w:r>
      <w:r w:rsidR="00CF251B" w:rsidRPr="004E75B3">
        <w:rPr>
          <w:rFonts w:ascii="Times New Roman" w:hAnsi="Times New Roman" w:cs="Times New Roman"/>
        </w:rPr>
        <w:t>during</w:t>
      </w:r>
      <w:r w:rsidRPr="004E75B3">
        <w:rPr>
          <w:rFonts w:ascii="Times New Roman" w:hAnsi="Times New Roman" w:cs="Times New Roman"/>
        </w:rPr>
        <w:t xml:space="preserve"> a review of an adviser</w:t>
      </w:r>
      <w:r w:rsidR="00CF251B" w:rsidRPr="004E75B3">
        <w:rPr>
          <w:rFonts w:ascii="Times New Roman" w:hAnsi="Times New Roman" w:cs="Times New Roman"/>
        </w:rPr>
        <w:t>’</w:t>
      </w:r>
      <w:r w:rsidRPr="004E75B3">
        <w:rPr>
          <w:rFonts w:ascii="Times New Roman" w:hAnsi="Times New Roman" w:cs="Times New Roman"/>
        </w:rPr>
        <w:t xml:space="preserve">s compliance program depending on </w:t>
      </w:r>
      <w:r w:rsidR="00CF251B" w:rsidRPr="004E75B3">
        <w:rPr>
          <w:rFonts w:ascii="Times New Roman" w:hAnsi="Times New Roman" w:cs="Times New Roman"/>
        </w:rPr>
        <w:t>the adviser’s</w:t>
      </w:r>
      <w:r w:rsidRPr="004E75B3">
        <w:rPr>
          <w:rFonts w:ascii="Times New Roman" w:hAnsi="Times New Roman" w:cs="Times New Roman"/>
        </w:rPr>
        <w:t xml:space="preserve"> practices or products.</w:t>
      </w:r>
      <w:r w:rsidR="00D8177A" w:rsidRPr="004E75B3">
        <w:rPr>
          <w:rFonts w:ascii="Times New Roman" w:hAnsi="Times New Roman" w:cs="Times New Roman"/>
        </w:rPr>
        <w:t xml:space="preserve"> </w:t>
      </w:r>
      <w:r w:rsidRPr="004E75B3">
        <w:rPr>
          <w:rFonts w:ascii="Times New Roman" w:hAnsi="Times New Roman" w:cs="Times New Roman"/>
        </w:rPr>
        <w:t xml:space="preserve">For example, </w:t>
      </w:r>
      <w:r w:rsidR="00CF251B" w:rsidRPr="004E75B3">
        <w:rPr>
          <w:rFonts w:ascii="Times New Roman" w:hAnsi="Times New Roman" w:cs="Times New Roman"/>
        </w:rPr>
        <w:t xml:space="preserve">advisers whose </w:t>
      </w:r>
      <w:r w:rsidRPr="004E75B3">
        <w:rPr>
          <w:rFonts w:ascii="Times New Roman" w:hAnsi="Times New Roman" w:cs="Times New Roman"/>
        </w:rPr>
        <w:t>clients invest in illiquid or difficult-to-value asset</w:t>
      </w:r>
      <w:r w:rsidR="004839FF" w:rsidRPr="004E75B3">
        <w:rPr>
          <w:rFonts w:ascii="Times New Roman" w:hAnsi="Times New Roman" w:cs="Times New Roman"/>
        </w:rPr>
        <w:t>s,</w:t>
      </w:r>
      <w:r w:rsidRPr="004E75B3">
        <w:rPr>
          <w:rFonts w:ascii="Times New Roman" w:hAnsi="Times New Roman" w:cs="Times New Roman"/>
        </w:rPr>
        <w:t xml:space="preserve"> </w:t>
      </w:r>
      <w:r w:rsidR="004839FF" w:rsidRPr="004E75B3">
        <w:rPr>
          <w:rFonts w:ascii="Times New Roman" w:hAnsi="Times New Roman" w:cs="Times New Roman"/>
        </w:rPr>
        <w:t>such as</w:t>
      </w:r>
      <w:r w:rsidRPr="004E75B3">
        <w:rPr>
          <w:rFonts w:ascii="Times New Roman" w:hAnsi="Times New Roman" w:cs="Times New Roman"/>
        </w:rPr>
        <w:t xml:space="preserve"> commercial real estate, may face higher scrutiny </w:t>
      </w:r>
      <w:r w:rsidR="004839FF" w:rsidRPr="004E75B3">
        <w:rPr>
          <w:rFonts w:ascii="Times New Roman" w:hAnsi="Times New Roman" w:cs="Times New Roman"/>
        </w:rPr>
        <w:t>of</w:t>
      </w:r>
      <w:r w:rsidRPr="004E75B3">
        <w:rPr>
          <w:rFonts w:ascii="Times New Roman" w:hAnsi="Times New Roman" w:cs="Times New Roman"/>
        </w:rPr>
        <w:t xml:space="preserve"> their valuations</w:t>
      </w:r>
      <w:r w:rsidR="00CF251B" w:rsidRPr="004E75B3">
        <w:rPr>
          <w:rFonts w:ascii="Times New Roman" w:hAnsi="Times New Roman" w:cs="Times New Roman"/>
        </w:rPr>
        <w:t xml:space="preserve"> of those assets</w:t>
      </w:r>
      <w:r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Pr="004E75B3">
        <w:rPr>
          <w:rFonts w:ascii="Times New Roman" w:hAnsi="Times New Roman" w:cs="Times New Roman"/>
        </w:rPr>
        <w:t xml:space="preserve">If advisers integrate artificial intelligence into their advisory operations, such as in portfolio management, trading, marketing, </w:t>
      </w:r>
      <w:r w:rsidR="000F5BBB" w:rsidRPr="004E75B3">
        <w:rPr>
          <w:rFonts w:ascii="Times New Roman" w:hAnsi="Times New Roman" w:cs="Times New Roman"/>
        </w:rPr>
        <w:t>or</w:t>
      </w:r>
      <w:r w:rsidRPr="004E75B3">
        <w:rPr>
          <w:rFonts w:ascii="Times New Roman" w:hAnsi="Times New Roman" w:cs="Times New Roman"/>
        </w:rPr>
        <w:t xml:space="preserve"> compliance, examinations may look further into</w:t>
      </w:r>
      <w:r w:rsidR="00DD3479" w:rsidRPr="004E75B3">
        <w:rPr>
          <w:rFonts w:ascii="Times New Roman" w:hAnsi="Times New Roman" w:cs="Times New Roman"/>
        </w:rPr>
        <w:t xml:space="preserve"> those</w:t>
      </w:r>
      <w:r w:rsidRPr="004E75B3">
        <w:rPr>
          <w:rFonts w:ascii="Times New Roman" w:hAnsi="Times New Roman" w:cs="Times New Roman"/>
        </w:rPr>
        <w:t xml:space="preserve"> advisers’ compliance policies and procedures, as well as </w:t>
      </w:r>
      <w:r w:rsidR="001A7F85" w:rsidRPr="004E75B3">
        <w:rPr>
          <w:rFonts w:ascii="Times New Roman" w:hAnsi="Times New Roman" w:cs="Times New Roman"/>
        </w:rPr>
        <w:t xml:space="preserve">their </w:t>
      </w:r>
      <w:r w:rsidRPr="004E75B3">
        <w:rPr>
          <w:rFonts w:ascii="Times New Roman" w:hAnsi="Times New Roman" w:cs="Times New Roman"/>
        </w:rPr>
        <w:t>disclosures to clients related to th</w:t>
      </w:r>
      <w:r w:rsidR="004839FF" w:rsidRPr="004E75B3">
        <w:rPr>
          <w:rFonts w:ascii="Times New Roman" w:hAnsi="Times New Roman" w:cs="Times New Roman"/>
        </w:rPr>
        <w:t>o</w:t>
      </w:r>
      <w:r w:rsidRPr="004E75B3">
        <w:rPr>
          <w:rFonts w:ascii="Times New Roman" w:hAnsi="Times New Roman" w:cs="Times New Roman"/>
        </w:rPr>
        <w:t>se areas.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DD3479" w:rsidRPr="004E75B3">
        <w:rPr>
          <w:rFonts w:ascii="Times New Roman" w:hAnsi="Times New Roman" w:cs="Times New Roman"/>
        </w:rPr>
        <w:t>Additionally</w:t>
      </w:r>
      <w:r w:rsidRPr="004E75B3">
        <w:rPr>
          <w:rFonts w:ascii="Times New Roman" w:hAnsi="Times New Roman" w:cs="Times New Roman"/>
        </w:rPr>
        <w:t xml:space="preserve">, if advisers utilize independent contractors from geographically dispersed locations, examinations </w:t>
      </w:r>
      <w:r w:rsidR="000A3E56" w:rsidRPr="004E75B3">
        <w:rPr>
          <w:rFonts w:ascii="Times New Roman" w:hAnsi="Times New Roman" w:cs="Times New Roman"/>
        </w:rPr>
        <w:t>may</w:t>
      </w:r>
      <w:r w:rsidRPr="004E75B3">
        <w:rPr>
          <w:rFonts w:ascii="Times New Roman" w:hAnsi="Times New Roman" w:cs="Times New Roman"/>
        </w:rPr>
        <w:t xml:space="preserve"> focus on </w:t>
      </w:r>
      <w:r w:rsidR="00DD3479" w:rsidRPr="004E75B3">
        <w:rPr>
          <w:rFonts w:ascii="Times New Roman" w:hAnsi="Times New Roman" w:cs="Times New Roman"/>
        </w:rPr>
        <w:t xml:space="preserve">the advisers’ </w:t>
      </w:r>
      <w:r w:rsidRPr="004E75B3">
        <w:rPr>
          <w:rFonts w:ascii="Times New Roman" w:hAnsi="Times New Roman" w:cs="Times New Roman"/>
        </w:rPr>
        <w:t>supervision and oversight practices.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DD3479" w:rsidRPr="004E75B3">
        <w:rPr>
          <w:rFonts w:ascii="Times New Roman" w:hAnsi="Times New Roman" w:cs="Times New Roman"/>
        </w:rPr>
        <w:t>A</w:t>
      </w:r>
      <w:r w:rsidR="00CE6E5D" w:rsidRPr="004E75B3">
        <w:rPr>
          <w:rFonts w:ascii="Times New Roman" w:hAnsi="Times New Roman" w:cs="Times New Roman"/>
        </w:rPr>
        <w:t xml:space="preserve">dvisers </w:t>
      </w:r>
      <w:r w:rsidR="00E924D6" w:rsidRPr="004E75B3">
        <w:rPr>
          <w:rFonts w:ascii="Times New Roman" w:hAnsi="Times New Roman" w:cs="Times New Roman"/>
        </w:rPr>
        <w:t xml:space="preserve">that </w:t>
      </w:r>
      <w:r w:rsidR="005C7FA9" w:rsidRPr="004E75B3">
        <w:rPr>
          <w:rFonts w:ascii="Times New Roman" w:hAnsi="Times New Roman" w:cs="Times New Roman"/>
        </w:rPr>
        <w:t>are performing new</w:t>
      </w:r>
      <w:r w:rsidR="00CE6E5D" w:rsidRPr="004E75B3">
        <w:rPr>
          <w:rFonts w:ascii="Times New Roman" w:hAnsi="Times New Roman" w:cs="Times New Roman"/>
        </w:rPr>
        <w:t xml:space="preserve"> services, </w:t>
      </w:r>
      <w:r w:rsidR="00E924D6" w:rsidRPr="004E75B3">
        <w:rPr>
          <w:rFonts w:ascii="Times New Roman" w:hAnsi="Times New Roman" w:cs="Times New Roman"/>
        </w:rPr>
        <w:t xml:space="preserve">that </w:t>
      </w:r>
      <w:r w:rsidR="005C7FA9" w:rsidRPr="004E75B3">
        <w:rPr>
          <w:rFonts w:ascii="Times New Roman" w:hAnsi="Times New Roman" w:cs="Times New Roman"/>
        </w:rPr>
        <w:t>have</w:t>
      </w:r>
      <w:r w:rsidR="00CE6E5D" w:rsidRPr="004E75B3">
        <w:rPr>
          <w:rFonts w:ascii="Times New Roman" w:hAnsi="Times New Roman" w:cs="Times New Roman"/>
        </w:rPr>
        <w:t xml:space="preserve"> recent</w:t>
      </w:r>
      <w:r w:rsidR="005C7FA9" w:rsidRPr="004E75B3">
        <w:rPr>
          <w:rFonts w:ascii="Times New Roman" w:hAnsi="Times New Roman" w:cs="Times New Roman"/>
        </w:rPr>
        <w:t>ly made</w:t>
      </w:r>
      <w:r w:rsidR="00CE6E5D" w:rsidRPr="004E75B3">
        <w:rPr>
          <w:rFonts w:ascii="Times New Roman" w:hAnsi="Times New Roman" w:cs="Times New Roman"/>
        </w:rPr>
        <w:t xml:space="preserve"> changes to their business models, </w:t>
      </w:r>
      <w:r w:rsidR="00596A15" w:rsidRPr="004E75B3">
        <w:rPr>
          <w:rFonts w:ascii="Times New Roman" w:hAnsi="Times New Roman" w:cs="Times New Roman"/>
        </w:rPr>
        <w:t xml:space="preserve">or </w:t>
      </w:r>
      <w:r w:rsidR="00E924D6" w:rsidRPr="004E75B3">
        <w:rPr>
          <w:rFonts w:ascii="Times New Roman" w:hAnsi="Times New Roman" w:cs="Times New Roman"/>
        </w:rPr>
        <w:t xml:space="preserve">that </w:t>
      </w:r>
      <w:r w:rsidR="00596A15" w:rsidRPr="004E75B3">
        <w:rPr>
          <w:rFonts w:ascii="Times New Roman" w:hAnsi="Times New Roman" w:cs="Times New Roman"/>
        </w:rPr>
        <w:t xml:space="preserve">are new to advising particular types of assets or clients </w:t>
      </w:r>
      <w:r w:rsidR="00CE6E5D" w:rsidRPr="004E75B3">
        <w:rPr>
          <w:rFonts w:ascii="Times New Roman" w:hAnsi="Times New Roman" w:cs="Times New Roman"/>
        </w:rPr>
        <w:t>may face examinations focusing on compliance practices.</w:t>
      </w:r>
    </w:p>
    <w:p w14:paraId="06F4D4E2" w14:textId="77777777" w:rsidR="00880067" w:rsidRPr="004E75B3" w:rsidRDefault="00880067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08E312" w14:textId="750E167C" w:rsidR="00CE6E5D" w:rsidRPr="004E75B3" w:rsidRDefault="00CE6E5D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5B3">
        <w:rPr>
          <w:rFonts w:ascii="Times New Roman" w:hAnsi="Times New Roman" w:cs="Times New Roman"/>
          <w:b/>
          <w:bCs/>
        </w:rPr>
        <w:t xml:space="preserve">Examinations of </w:t>
      </w:r>
      <w:r w:rsidRPr="004E75B3">
        <w:rPr>
          <w:rFonts w:ascii="Times New Roman" w:hAnsi="Times New Roman" w:cs="Times New Roman"/>
          <w:b/>
          <w:bCs/>
        </w:rPr>
        <w:t>I</w:t>
      </w:r>
      <w:r w:rsidRPr="004E75B3">
        <w:rPr>
          <w:rFonts w:ascii="Times New Roman" w:hAnsi="Times New Roman" w:cs="Times New Roman"/>
          <w:b/>
          <w:bCs/>
        </w:rPr>
        <w:t xml:space="preserve">nvestment </w:t>
      </w:r>
      <w:r w:rsidRPr="004E75B3">
        <w:rPr>
          <w:rFonts w:ascii="Times New Roman" w:hAnsi="Times New Roman" w:cs="Times New Roman"/>
          <w:b/>
          <w:bCs/>
        </w:rPr>
        <w:t>A</w:t>
      </w:r>
      <w:r w:rsidRPr="004E75B3">
        <w:rPr>
          <w:rFonts w:ascii="Times New Roman" w:hAnsi="Times New Roman" w:cs="Times New Roman"/>
          <w:b/>
          <w:bCs/>
        </w:rPr>
        <w:t xml:space="preserve">dvisers to </w:t>
      </w:r>
      <w:r w:rsidRPr="004E75B3">
        <w:rPr>
          <w:rFonts w:ascii="Times New Roman" w:hAnsi="Times New Roman" w:cs="Times New Roman"/>
          <w:b/>
          <w:bCs/>
        </w:rPr>
        <w:t>P</w:t>
      </w:r>
      <w:r w:rsidRPr="004E75B3">
        <w:rPr>
          <w:rFonts w:ascii="Times New Roman" w:hAnsi="Times New Roman" w:cs="Times New Roman"/>
          <w:b/>
          <w:bCs/>
        </w:rPr>
        <w:t xml:space="preserve">rivate </w:t>
      </w:r>
      <w:r w:rsidRPr="004E75B3">
        <w:rPr>
          <w:rFonts w:ascii="Times New Roman" w:hAnsi="Times New Roman" w:cs="Times New Roman"/>
          <w:b/>
          <w:bCs/>
        </w:rPr>
        <w:t>F</w:t>
      </w:r>
      <w:r w:rsidRPr="004E75B3">
        <w:rPr>
          <w:rFonts w:ascii="Times New Roman" w:hAnsi="Times New Roman" w:cs="Times New Roman"/>
          <w:b/>
          <w:bCs/>
        </w:rPr>
        <w:t>unds</w:t>
      </w:r>
    </w:p>
    <w:p w14:paraId="4914B42A" w14:textId="77777777" w:rsidR="00880067" w:rsidRPr="004E75B3" w:rsidRDefault="00880067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9A59A" w14:textId="4275BC9E" w:rsidR="00CD7DEF" w:rsidRPr="004E75B3" w:rsidRDefault="00E95B11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As a significant portion of the SEC-registered investment advis</w:t>
      </w:r>
      <w:r w:rsidR="00F03D1C" w:rsidRPr="004E75B3">
        <w:rPr>
          <w:rFonts w:ascii="Times New Roman" w:hAnsi="Times New Roman" w:cs="Times New Roman"/>
        </w:rPr>
        <w:t>e</w:t>
      </w:r>
      <w:r w:rsidRPr="004E75B3">
        <w:rPr>
          <w:rFonts w:ascii="Times New Roman" w:hAnsi="Times New Roman" w:cs="Times New Roman"/>
        </w:rPr>
        <w:t>r population, advisers to private funds</w:t>
      </w:r>
      <w:r w:rsidR="00876216" w:rsidRPr="004E75B3">
        <w:rPr>
          <w:rFonts w:ascii="Times New Roman" w:hAnsi="Times New Roman" w:cs="Times New Roman"/>
        </w:rPr>
        <w:t xml:space="preserve"> will</w:t>
      </w:r>
      <w:r w:rsidR="005C7FA9" w:rsidRPr="004E75B3">
        <w:rPr>
          <w:rFonts w:ascii="Times New Roman" w:hAnsi="Times New Roman" w:cs="Times New Roman"/>
        </w:rPr>
        <w:t xml:space="preserve"> continue to</w:t>
      </w:r>
      <w:r w:rsidR="00876216" w:rsidRPr="004E75B3">
        <w:rPr>
          <w:rFonts w:ascii="Times New Roman" w:hAnsi="Times New Roman" w:cs="Times New Roman"/>
        </w:rPr>
        <w:t xml:space="preserve"> be subject to</w:t>
      </w:r>
      <w:r w:rsidR="008C1E2C" w:rsidRPr="004E75B3">
        <w:rPr>
          <w:rFonts w:ascii="Times New Roman" w:hAnsi="Times New Roman" w:cs="Times New Roman"/>
        </w:rPr>
        <w:t xml:space="preserve"> regular</w:t>
      </w:r>
      <w:r w:rsidR="00876216" w:rsidRPr="004E75B3">
        <w:rPr>
          <w:rFonts w:ascii="Times New Roman" w:hAnsi="Times New Roman" w:cs="Times New Roman"/>
        </w:rPr>
        <w:t xml:space="preserve"> review</w:t>
      </w:r>
      <w:r w:rsidR="00466889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466889" w:rsidRPr="004E75B3">
        <w:rPr>
          <w:rFonts w:ascii="Times New Roman" w:hAnsi="Times New Roman" w:cs="Times New Roman"/>
        </w:rPr>
        <w:t xml:space="preserve">Specifically, the Division </w:t>
      </w:r>
      <w:r w:rsidR="00596A15" w:rsidRPr="004E75B3">
        <w:rPr>
          <w:rFonts w:ascii="Times New Roman" w:hAnsi="Times New Roman" w:cs="Times New Roman"/>
        </w:rPr>
        <w:t>may</w:t>
      </w:r>
      <w:r w:rsidR="00466889" w:rsidRPr="004E75B3">
        <w:rPr>
          <w:rFonts w:ascii="Times New Roman" w:hAnsi="Times New Roman" w:cs="Times New Roman"/>
        </w:rPr>
        <w:t xml:space="preserve"> </w:t>
      </w:r>
      <w:r w:rsidR="00FA426A" w:rsidRPr="004E75B3">
        <w:rPr>
          <w:rFonts w:ascii="Times New Roman" w:hAnsi="Times New Roman" w:cs="Times New Roman"/>
        </w:rPr>
        <w:t xml:space="preserve">prioritize </w:t>
      </w:r>
      <w:r w:rsidR="00466889" w:rsidRPr="004E75B3">
        <w:rPr>
          <w:rFonts w:ascii="Times New Roman" w:hAnsi="Times New Roman" w:cs="Times New Roman"/>
        </w:rPr>
        <w:t>review</w:t>
      </w:r>
      <w:r w:rsidR="00FA426A" w:rsidRPr="004E75B3">
        <w:rPr>
          <w:rFonts w:ascii="Times New Roman" w:hAnsi="Times New Roman" w:cs="Times New Roman"/>
        </w:rPr>
        <w:t>ing</w:t>
      </w:r>
      <w:r w:rsidR="00876216" w:rsidRPr="004E75B3">
        <w:rPr>
          <w:rFonts w:ascii="Times New Roman" w:hAnsi="Times New Roman" w:cs="Times New Roman"/>
        </w:rPr>
        <w:t>:</w:t>
      </w:r>
    </w:p>
    <w:p w14:paraId="3635B5E5" w14:textId="38D89DC0" w:rsidR="00B114B0" w:rsidRPr="004E75B3" w:rsidRDefault="00466889" w:rsidP="003E79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81821890"/>
      <w:r w:rsidRPr="004E75B3">
        <w:rPr>
          <w:rFonts w:ascii="Times New Roman" w:hAnsi="Times New Roman" w:cs="Times New Roman"/>
        </w:rPr>
        <w:t xml:space="preserve">Disclosures to ensure </w:t>
      </w:r>
      <w:r w:rsidR="000F5BBB" w:rsidRPr="004E75B3">
        <w:rPr>
          <w:rFonts w:ascii="Times New Roman" w:hAnsi="Times New Roman" w:cs="Times New Roman"/>
        </w:rPr>
        <w:t xml:space="preserve">that </w:t>
      </w:r>
      <w:r w:rsidRPr="004E75B3">
        <w:rPr>
          <w:rFonts w:ascii="Times New Roman" w:hAnsi="Times New Roman" w:cs="Times New Roman"/>
        </w:rPr>
        <w:t>they are consistent with actual practices</w:t>
      </w:r>
      <w:r w:rsidR="00BA44FE" w:rsidRPr="004E75B3">
        <w:rPr>
          <w:rFonts w:ascii="Times New Roman" w:hAnsi="Times New Roman" w:cs="Times New Roman"/>
        </w:rPr>
        <w:t xml:space="preserve">, including whether advisers have met their fiduciary obligations in times of market volatility and whether the private fund was exposed to interest rate fluctuations, </w:t>
      </w:r>
      <w:r w:rsidR="007F42A1" w:rsidRPr="004E75B3">
        <w:rPr>
          <w:rFonts w:ascii="Times New Roman" w:hAnsi="Times New Roman" w:cs="Times New Roman"/>
        </w:rPr>
        <w:t xml:space="preserve">as may be the case </w:t>
      </w:r>
      <w:r w:rsidR="00C17D53" w:rsidRPr="004E75B3">
        <w:rPr>
          <w:rFonts w:ascii="Times New Roman" w:hAnsi="Times New Roman" w:cs="Times New Roman"/>
        </w:rPr>
        <w:t>when the fund’s</w:t>
      </w:r>
      <w:r w:rsidR="007F42A1" w:rsidRPr="004E75B3">
        <w:rPr>
          <w:rFonts w:ascii="Times New Roman" w:hAnsi="Times New Roman" w:cs="Times New Roman"/>
        </w:rPr>
        <w:t xml:space="preserve"> investment </w:t>
      </w:r>
      <w:r w:rsidR="00CE5CBF" w:rsidRPr="004E75B3">
        <w:rPr>
          <w:rFonts w:ascii="Times New Roman" w:hAnsi="Times New Roman" w:cs="Times New Roman"/>
        </w:rPr>
        <w:t>strateg</w:t>
      </w:r>
      <w:r w:rsidR="00C17D53" w:rsidRPr="004E75B3">
        <w:rPr>
          <w:rFonts w:ascii="Times New Roman" w:hAnsi="Times New Roman" w:cs="Times New Roman"/>
        </w:rPr>
        <w:t>y</w:t>
      </w:r>
      <w:r w:rsidR="00CE5CBF" w:rsidRPr="004E75B3">
        <w:rPr>
          <w:rFonts w:ascii="Times New Roman" w:hAnsi="Times New Roman" w:cs="Times New Roman"/>
        </w:rPr>
        <w:t xml:space="preserve"> involv</w:t>
      </w:r>
      <w:r w:rsidR="00C17D53" w:rsidRPr="004E75B3">
        <w:rPr>
          <w:rFonts w:ascii="Times New Roman" w:hAnsi="Times New Roman" w:cs="Times New Roman"/>
        </w:rPr>
        <w:t>es</w:t>
      </w:r>
      <w:r w:rsidR="00CE5CBF" w:rsidRPr="004E75B3">
        <w:rPr>
          <w:rFonts w:ascii="Times New Roman" w:hAnsi="Times New Roman" w:cs="Times New Roman"/>
        </w:rPr>
        <w:t xml:space="preserve"> commercial real estate, illiquid assets, </w:t>
      </w:r>
      <w:r w:rsidR="00C17D53" w:rsidRPr="004E75B3">
        <w:rPr>
          <w:rFonts w:ascii="Times New Roman" w:hAnsi="Times New Roman" w:cs="Times New Roman"/>
        </w:rPr>
        <w:t>or</w:t>
      </w:r>
      <w:r w:rsidR="00CE5CBF" w:rsidRPr="004E75B3">
        <w:rPr>
          <w:rFonts w:ascii="Times New Roman" w:hAnsi="Times New Roman" w:cs="Times New Roman"/>
        </w:rPr>
        <w:t xml:space="preserve"> private credit.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B114B0" w:rsidRPr="004E75B3">
        <w:rPr>
          <w:rFonts w:ascii="Times New Roman" w:hAnsi="Times New Roman" w:cs="Times New Roman"/>
        </w:rPr>
        <w:t xml:space="preserve">The Division may </w:t>
      </w:r>
      <w:r w:rsidR="00200AD2" w:rsidRPr="004E75B3">
        <w:rPr>
          <w:rFonts w:ascii="Times New Roman" w:hAnsi="Times New Roman" w:cs="Times New Roman"/>
        </w:rPr>
        <w:t xml:space="preserve">prioritize examinations of advisers to private funds that experienced poor performance and significant withdrawals or those that hold more leverage </w:t>
      </w:r>
      <w:r w:rsidR="00C17D53" w:rsidRPr="004E75B3">
        <w:rPr>
          <w:rFonts w:ascii="Times New Roman" w:hAnsi="Times New Roman" w:cs="Times New Roman"/>
        </w:rPr>
        <w:t>or</w:t>
      </w:r>
      <w:r w:rsidR="00200AD2" w:rsidRPr="004E75B3">
        <w:rPr>
          <w:rFonts w:ascii="Times New Roman" w:hAnsi="Times New Roman" w:cs="Times New Roman"/>
        </w:rPr>
        <w:t xml:space="preserve"> difficult-to-value assets</w:t>
      </w:r>
    </w:p>
    <w:p w14:paraId="5FB7A1C8" w14:textId="69289C73" w:rsidR="00200AD2" w:rsidRPr="004E75B3" w:rsidRDefault="00596A15" w:rsidP="00596A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Accuracy of </w:t>
      </w:r>
      <w:r w:rsidR="000F5BBB" w:rsidRPr="004E75B3">
        <w:rPr>
          <w:rFonts w:ascii="Times New Roman" w:hAnsi="Times New Roman" w:cs="Times New Roman"/>
        </w:rPr>
        <w:t xml:space="preserve">private fund </w:t>
      </w:r>
      <w:r w:rsidRPr="004E75B3">
        <w:rPr>
          <w:rFonts w:ascii="Times New Roman" w:hAnsi="Times New Roman" w:cs="Times New Roman"/>
        </w:rPr>
        <w:t xml:space="preserve">fee and expense calculations and allocations at both the fund level and </w:t>
      </w:r>
      <w:r w:rsidR="00E924D6" w:rsidRPr="004E75B3">
        <w:rPr>
          <w:rFonts w:ascii="Times New Roman" w:hAnsi="Times New Roman" w:cs="Times New Roman"/>
        </w:rPr>
        <w:t xml:space="preserve">the </w:t>
      </w:r>
      <w:r w:rsidRPr="004E75B3">
        <w:rPr>
          <w:rFonts w:ascii="Times New Roman" w:hAnsi="Times New Roman" w:cs="Times New Roman"/>
        </w:rPr>
        <w:t>investment level</w:t>
      </w:r>
      <w:r w:rsidR="007A42F4" w:rsidRPr="004E75B3">
        <w:rPr>
          <w:rFonts w:ascii="Times New Roman" w:hAnsi="Times New Roman" w:cs="Times New Roman"/>
        </w:rPr>
        <w:t>,</w:t>
      </w:r>
      <w:r w:rsidR="005A54CF" w:rsidRPr="004E75B3">
        <w:rPr>
          <w:rFonts w:ascii="Times New Roman" w:hAnsi="Times New Roman" w:cs="Times New Roman"/>
        </w:rPr>
        <w:t xml:space="preserve"> with a focus on </w:t>
      </w:r>
      <w:r w:rsidR="00C17D53" w:rsidRPr="004E75B3">
        <w:rPr>
          <w:rFonts w:ascii="Times New Roman" w:hAnsi="Times New Roman" w:cs="Times New Roman"/>
        </w:rPr>
        <w:t xml:space="preserve">the </w:t>
      </w:r>
      <w:r w:rsidR="005A54CF" w:rsidRPr="004E75B3">
        <w:rPr>
          <w:rFonts w:ascii="Times New Roman" w:hAnsi="Times New Roman" w:cs="Times New Roman"/>
        </w:rPr>
        <w:t xml:space="preserve">valuation of illiquid assets, </w:t>
      </w:r>
      <w:r w:rsidR="00E924D6" w:rsidRPr="004E75B3">
        <w:rPr>
          <w:rFonts w:ascii="Times New Roman" w:hAnsi="Times New Roman" w:cs="Times New Roman"/>
        </w:rPr>
        <w:t xml:space="preserve">the </w:t>
      </w:r>
      <w:r w:rsidR="005A54CF" w:rsidRPr="004E75B3">
        <w:rPr>
          <w:rFonts w:ascii="Times New Roman" w:hAnsi="Times New Roman" w:cs="Times New Roman"/>
        </w:rPr>
        <w:t xml:space="preserve">calculation </w:t>
      </w:r>
      <w:r w:rsidR="00020004" w:rsidRPr="004E75B3">
        <w:rPr>
          <w:rFonts w:ascii="Times New Roman" w:hAnsi="Times New Roman" w:cs="Times New Roman"/>
        </w:rPr>
        <w:t xml:space="preserve">and offsetting </w:t>
      </w:r>
      <w:r w:rsidR="005A54CF" w:rsidRPr="004E75B3">
        <w:rPr>
          <w:rFonts w:ascii="Times New Roman" w:hAnsi="Times New Roman" w:cs="Times New Roman"/>
        </w:rPr>
        <w:t>of post</w:t>
      </w:r>
      <w:r w:rsidRPr="004E75B3">
        <w:rPr>
          <w:rFonts w:ascii="Times New Roman" w:hAnsi="Times New Roman" w:cs="Times New Roman"/>
        </w:rPr>
        <w:t>-</w:t>
      </w:r>
      <w:r w:rsidR="005A54CF" w:rsidRPr="004E75B3">
        <w:rPr>
          <w:rFonts w:ascii="Times New Roman" w:hAnsi="Times New Roman" w:cs="Times New Roman"/>
        </w:rPr>
        <w:t>commitment period management fees,</w:t>
      </w:r>
      <w:r w:rsidR="00020004" w:rsidRPr="004E75B3">
        <w:rPr>
          <w:rFonts w:ascii="Times New Roman" w:hAnsi="Times New Roman" w:cs="Times New Roman"/>
        </w:rPr>
        <w:t xml:space="preserve"> and </w:t>
      </w:r>
      <w:r w:rsidR="00E924D6" w:rsidRPr="004E75B3">
        <w:rPr>
          <w:rFonts w:ascii="Times New Roman" w:hAnsi="Times New Roman" w:cs="Times New Roman"/>
        </w:rPr>
        <w:t xml:space="preserve">the </w:t>
      </w:r>
      <w:r w:rsidR="00020004" w:rsidRPr="004E75B3">
        <w:rPr>
          <w:rFonts w:ascii="Times New Roman" w:hAnsi="Times New Roman" w:cs="Times New Roman"/>
        </w:rPr>
        <w:t>adequacy of disclosures</w:t>
      </w:r>
    </w:p>
    <w:p w14:paraId="227453CD" w14:textId="00E12D41" w:rsidR="00020004" w:rsidRPr="004E75B3" w:rsidRDefault="00020004" w:rsidP="003E79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Disclosure</w:t>
      </w:r>
      <w:r w:rsidR="00C51E8D" w:rsidRPr="004E75B3">
        <w:rPr>
          <w:rFonts w:ascii="Times New Roman" w:hAnsi="Times New Roman" w:cs="Times New Roman"/>
        </w:rPr>
        <w:t>s</w:t>
      </w:r>
      <w:r w:rsidRPr="004E75B3">
        <w:rPr>
          <w:rFonts w:ascii="Times New Roman" w:hAnsi="Times New Roman" w:cs="Times New Roman"/>
        </w:rPr>
        <w:t xml:space="preserve"> of conflicts of interest and risks</w:t>
      </w:r>
      <w:r w:rsidR="000F5BBB" w:rsidRPr="004E75B3">
        <w:rPr>
          <w:rFonts w:ascii="Times New Roman" w:hAnsi="Times New Roman" w:cs="Times New Roman"/>
        </w:rPr>
        <w:t>,</w:t>
      </w:r>
      <w:r w:rsidR="001A76D2" w:rsidRPr="004E75B3">
        <w:rPr>
          <w:rFonts w:ascii="Times New Roman" w:hAnsi="Times New Roman" w:cs="Times New Roman"/>
        </w:rPr>
        <w:t xml:space="preserve"> and the adequacy of related policies and procedures, </w:t>
      </w:r>
      <w:r w:rsidR="00C51E8D" w:rsidRPr="004E75B3">
        <w:rPr>
          <w:rFonts w:ascii="Times New Roman" w:hAnsi="Times New Roman" w:cs="Times New Roman"/>
        </w:rPr>
        <w:t>especially in relation to products or practices that involve</w:t>
      </w:r>
      <w:r w:rsidR="001A76D2" w:rsidRPr="004E75B3">
        <w:rPr>
          <w:rFonts w:ascii="Times New Roman" w:hAnsi="Times New Roman" w:cs="Times New Roman"/>
        </w:rPr>
        <w:t xml:space="preserve"> (1) </w:t>
      </w:r>
      <w:r w:rsidR="00C60598" w:rsidRPr="004E75B3">
        <w:rPr>
          <w:rFonts w:ascii="Times New Roman" w:hAnsi="Times New Roman" w:cs="Times New Roman"/>
        </w:rPr>
        <w:t xml:space="preserve">the </w:t>
      </w:r>
      <w:r w:rsidR="001A76D2" w:rsidRPr="004E75B3">
        <w:rPr>
          <w:rFonts w:ascii="Times New Roman" w:hAnsi="Times New Roman" w:cs="Times New Roman"/>
        </w:rPr>
        <w:t xml:space="preserve">use of debt, fund-level lines of credit, investment allocations, adviser-led secondary transactions, </w:t>
      </w:r>
      <w:r w:rsidR="00D5505C" w:rsidRPr="004E75B3">
        <w:rPr>
          <w:rFonts w:ascii="Times New Roman" w:hAnsi="Times New Roman" w:cs="Times New Roman"/>
        </w:rPr>
        <w:t xml:space="preserve">or </w:t>
      </w:r>
      <w:r w:rsidR="001A76D2" w:rsidRPr="004E75B3">
        <w:rPr>
          <w:rFonts w:ascii="Times New Roman" w:hAnsi="Times New Roman" w:cs="Times New Roman"/>
        </w:rPr>
        <w:t>transactions between fund</w:t>
      </w:r>
      <w:r w:rsidR="000B3F4B" w:rsidRPr="004E75B3">
        <w:rPr>
          <w:rFonts w:ascii="Times New Roman" w:hAnsi="Times New Roman" w:cs="Times New Roman"/>
        </w:rPr>
        <w:t>s and others</w:t>
      </w:r>
      <w:r w:rsidR="00662B8A">
        <w:rPr>
          <w:rFonts w:ascii="Times New Roman" w:hAnsi="Times New Roman" w:cs="Times New Roman"/>
        </w:rPr>
        <w:t>,</w:t>
      </w:r>
      <w:r w:rsidR="000B3F4B" w:rsidRPr="004E75B3">
        <w:rPr>
          <w:rFonts w:ascii="Times New Roman" w:hAnsi="Times New Roman" w:cs="Times New Roman"/>
        </w:rPr>
        <w:t xml:space="preserve"> (2) investments held by multiple funds</w:t>
      </w:r>
      <w:r w:rsidR="00662B8A">
        <w:rPr>
          <w:rFonts w:ascii="Times New Roman" w:hAnsi="Times New Roman" w:cs="Times New Roman"/>
        </w:rPr>
        <w:t>,</w:t>
      </w:r>
      <w:r w:rsidR="000B3F4B" w:rsidRPr="004E75B3">
        <w:rPr>
          <w:rFonts w:ascii="Times New Roman" w:hAnsi="Times New Roman" w:cs="Times New Roman"/>
        </w:rPr>
        <w:t xml:space="preserve"> and (3) </w:t>
      </w:r>
      <w:r w:rsidR="00C60598" w:rsidRPr="004E75B3">
        <w:rPr>
          <w:rFonts w:ascii="Times New Roman" w:hAnsi="Times New Roman" w:cs="Times New Roman"/>
        </w:rPr>
        <w:t xml:space="preserve">the </w:t>
      </w:r>
      <w:r w:rsidR="000B3F4B" w:rsidRPr="004E75B3">
        <w:rPr>
          <w:rFonts w:ascii="Times New Roman" w:hAnsi="Times New Roman" w:cs="Times New Roman"/>
        </w:rPr>
        <w:t>use of affiliated service providers</w:t>
      </w:r>
    </w:p>
    <w:p w14:paraId="57380C48" w14:textId="5E526425" w:rsidR="000B3F4B" w:rsidRPr="004E75B3" w:rsidRDefault="000B3F4B" w:rsidP="003E79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Compliance with recent</w:t>
      </w:r>
      <w:r w:rsidR="00C60598" w:rsidRPr="004E75B3">
        <w:rPr>
          <w:rFonts w:ascii="Times New Roman" w:hAnsi="Times New Roman" w:cs="Times New Roman"/>
        </w:rPr>
        <w:t>ly adopted</w:t>
      </w:r>
      <w:r w:rsidRPr="004E75B3">
        <w:rPr>
          <w:rFonts w:ascii="Times New Roman" w:hAnsi="Times New Roman" w:cs="Times New Roman"/>
        </w:rPr>
        <w:t xml:space="preserve"> SEC rules, such as</w:t>
      </w:r>
      <w:r w:rsidR="00C60598" w:rsidRPr="004E75B3">
        <w:rPr>
          <w:rFonts w:ascii="Times New Roman" w:hAnsi="Times New Roman" w:cs="Times New Roman"/>
        </w:rPr>
        <w:t xml:space="preserve"> the 2023 and 2024</w:t>
      </w:r>
      <w:r w:rsidRPr="004E75B3">
        <w:rPr>
          <w:rFonts w:ascii="Times New Roman" w:hAnsi="Times New Roman" w:cs="Times New Roman"/>
        </w:rPr>
        <w:t xml:space="preserve"> amendments to Form PF and the </w:t>
      </w:r>
      <w:r w:rsidR="00C60598" w:rsidRPr="004E75B3">
        <w:rPr>
          <w:rFonts w:ascii="Times New Roman" w:hAnsi="Times New Roman" w:cs="Times New Roman"/>
        </w:rPr>
        <w:t>Marketing Rule</w:t>
      </w:r>
    </w:p>
    <w:bookmarkEnd w:id="0"/>
    <w:p w14:paraId="40F87B1D" w14:textId="77777777" w:rsidR="00880067" w:rsidRPr="004E75B3" w:rsidRDefault="00880067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00BE97" w14:textId="3C5C0E80" w:rsidR="00CE6E5D" w:rsidRPr="004E75B3" w:rsidRDefault="00CE6E5D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5B3">
        <w:rPr>
          <w:rFonts w:ascii="Times New Roman" w:hAnsi="Times New Roman" w:cs="Times New Roman"/>
          <w:b/>
          <w:bCs/>
        </w:rPr>
        <w:lastRenderedPageBreak/>
        <w:t>Never</w:t>
      </w:r>
      <w:r w:rsidRPr="004E75B3">
        <w:rPr>
          <w:rFonts w:ascii="Times New Roman" w:hAnsi="Times New Roman" w:cs="Times New Roman"/>
          <w:b/>
          <w:bCs/>
        </w:rPr>
        <w:t xml:space="preserve"> E</w:t>
      </w:r>
      <w:r w:rsidRPr="004E75B3">
        <w:rPr>
          <w:rFonts w:ascii="Times New Roman" w:hAnsi="Times New Roman" w:cs="Times New Roman"/>
          <w:b/>
          <w:bCs/>
        </w:rPr>
        <w:t xml:space="preserve">xamined </w:t>
      </w:r>
      <w:r w:rsidRPr="004E75B3">
        <w:rPr>
          <w:rFonts w:ascii="Times New Roman" w:hAnsi="Times New Roman" w:cs="Times New Roman"/>
          <w:b/>
          <w:bCs/>
        </w:rPr>
        <w:t>A</w:t>
      </w:r>
      <w:r w:rsidRPr="004E75B3">
        <w:rPr>
          <w:rFonts w:ascii="Times New Roman" w:hAnsi="Times New Roman" w:cs="Times New Roman"/>
          <w:b/>
          <w:bCs/>
        </w:rPr>
        <w:t xml:space="preserve">dvisers, </w:t>
      </w:r>
      <w:r w:rsidRPr="004E75B3">
        <w:rPr>
          <w:rFonts w:ascii="Times New Roman" w:hAnsi="Times New Roman" w:cs="Times New Roman"/>
          <w:b/>
          <w:bCs/>
        </w:rPr>
        <w:t>R</w:t>
      </w:r>
      <w:r w:rsidRPr="004E75B3">
        <w:rPr>
          <w:rFonts w:ascii="Times New Roman" w:hAnsi="Times New Roman" w:cs="Times New Roman"/>
          <w:b/>
          <w:bCs/>
        </w:rPr>
        <w:t xml:space="preserve">ecently </w:t>
      </w:r>
      <w:r w:rsidRPr="004E75B3">
        <w:rPr>
          <w:rFonts w:ascii="Times New Roman" w:hAnsi="Times New Roman" w:cs="Times New Roman"/>
          <w:b/>
          <w:bCs/>
        </w:rPr>
        <w:t>R</w:t>
      </w:r>
      <w:r w:rsidRPr="004E75B3">
        <w:rPr>
          <w:rFonts w:ascii="Times New Roman" w:hAnsi="Times New Roman" w:cs="Times New Roman"/>
          <w:b/>
          <w:bCs/>
        </w:rPr>
        <w:t xml:space="preserve">egistered </w:t>
      </w:r>
      <w:r w:rsidRPr="004E75B3">
        <w:rPr>
          <w:rFonts w:ascii="Times New Roman" w:hAnsi="Times New Roman" w:cs="Times New Roman"/>
          <w:b/>
          <w:bCs/>
        </w:rPr>
        <w:t>A</w:t>
      </w:r>
      <w:r w:rsidRPr="004E75B3">
        <w:rPr>
          <w:rFonts w:ascii="Times New Roman" w:hAnsi="Times New Roman" w:cs="Times New Roman"/>
          <w:b/>
          <w:bCs/>
        </w:rPr>
        <w:t xml:space="preserve">dvisers, and </w:t>
      </w:r>
      <w:r w:rsidRPr="004E75B3">
        <w:rPr>
          <w:rFonts w:ascii="Times New Roman" w:hAnsi="Times New Roman" w:cs="Times New Roman"/>
          <w:b/>
          <w:bCs/>
        </w:rPr>
        <w:t>A</w:t>
      </w:r>
      <w:r w:rsidRPr="004E75B3">
        <w:rPr>
          <w:rFonts w:ascii="Times New Roman" w:hAnsi="Times New Roman" w:cs="Times New Roman"/>
          <w:b/>
          <w:bCs/>
        </w:rPr>
        <w:t xml:space="preserve">dvisers </w:t>
      </w:r>
      <w:r w:rsidRPr="004E75B3">
        <w:rPr>
          <w:rFonts w:ascii="Times New Roman" w:hAnsi="Times New Roman" w:cs="Times New Roman"/>
          <w:b/>
          <w:bCs/>
        </w:rPr>
        <w:t>N</w:t>
      </w:r>
      <w:r w:rsidRPr="004E75B3">
        <w:rPr>
          <w:rFonts w:ascii="Times New Roman" w:hAnsi="Times New Roman" w:cs="Times New Roman"/>
          <w:b/>
          <w:bCs/>
        </w:rPr>
        <w:t xml:space="preserve">ot </w:t>
      </w:r>
      <w:r w:rsidRPr="004E75B3">
        <w:rPr>
          <w:rFonts w:ascii="Times New Roman" w:hAnsi="Times New Roman" w:cs="Times New Roman"/>
          <w:b/>
          <w:bCs/>
        </w:rPr>
        <w:t>R</w:t>
      </w:r>
      <w:r w:rsidRPr="004E75B3">
        <w:rPr>
          <w:rFonts w:ascii="Times New Roman" w:hAnsi="Times New Roman" w:cs="Times New Roman"/>
          <w:b/>
          <w:bCs/>
        </w:rPr>
        <w:t xml:space="preserve">ecently </w:t>
      </w:r>
      <w:r w:rsidRPr="004E75B3">
        <w:rPr>
          <w:rFonts w:ascii="Times New Roman" w:hAnsi="Times New Roman" w:cs="Times New Roman"/>
          <w:b/>
          <w:bCs/>
        </w:rPr>
        <w:t>E</w:t>
      </w:r>
      <w:r w:rsidRPr="004E75B3">
        <w:rPr>
          <w:rFonts w:ascii="Times New Roman" w:hAnsi="Times New Roman" w:cs="Times New Roman"/>
          <w:b/>
          <w:bCs/>
        </w:rPr>
        <w:t>xamined</w:t>
      </w:r>
    </w:p>
    <w:p w14:paraId="37DEFADC" w14:textId="77777777" w:rsidR="00880067" w:rsidRPr="004E75B3" w:rsidRDefault="00880067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8FDDC" w14:textId="32A52695" w:rsidR="00B36892" w:rsidRPr="004E75B3" w:rsidRDefault="00CE6E5D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In</w:t>
      </w:r>
      <w:r w:rsidR="00773FF9" w:rsidRPr="004E75B3">
        <w:rPr>
          <w:rFonts w:ascii="Times New Roman" w:hAnsi="Times New Roman" w:cs="Times New Roman"/>
        </w:rPr>
        <w:t xml:space="preserve"> line with the </w:t>
      </w:r>
      <w:hyperlink r:id="rId9" w:history="1">
        <w:r w:rsidR="00773FF9" w:rsidRPr="004E75B3">
          <w:rPr>
            <w:rStyle w:val="Hyperlink"/>
            <w:rFonts w:ascii="Times New Roman" w:hAnsi="Times New Roman" w:cs="Times New Roman"/>
          </w:rPr>
          <w:t>2024 Examination Priorities</w:t>
        </w:r>
      </w:hyperlink>
      <w:r w:rsidR="00773FF9" w:rsidRPr="004E75B3">
        <w:rPr>
          <w:rFonts w:ascii="Times New Roman" w:hAnsi="Times New Roman" w:cs="Times New Roman"/>
        </w:rPr>
        <w:t xml:space="preserve">, the Division will continue prioritizing examinations of newly registered advisers and those advisers </w:t>
      </w:r>
      <w:r w:rsidR="00773FF9" w:rsidRPr="004E75B3">
        <w:rPr>
          <w:rFonts w:ascii="Times New Roman" w:hAnsi="Times New Roman" w:cs="Times New Roman"/>
        </w:rPr>
        <w:t xml:space="preserve">that </w:t>
      </w:r>
      <w:r w:rsidR="00773FF9" w:rsidRPr="004E75B3">
        <w:rPr>
          <w:rFonts w:ascii="Times New Roman" w:hAnsi="Times New Roman" w:cs="Times New Roman"/>
        </w:rPr>
        <w:t xml:space="preserve">have not recently or ever been examined. </w:t>
      </w:r>
    </w:p>
    <w:p w14:paraId="48E113E0" w14:textId="77777777" w:rsidR="00880067" w:rsidRPr="004E75B3" w:rsidRDefault="00880067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E6D69E" w14:textId="04C5F30E" w:rsidR="00B36892" w:rsidRPr="004E75B3" w:rsidRDefault="00B36892" w:rsidP="003E79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5B3">
        <w:rPr>
          <w:rFonts w:ascii="Times New Roman" w:hAnsi="Times New Roman" w:cs="Times New Roman"/>
          <w:b/>
          <w:bCs/>
        </w:rPr>
        <w:t xml:space="preserve">Our </w:t>
      </w:r>
      <w:r w:rsidRPr="004E75B3">
        <w:rPr>
          <w:rFonts w:ascii="Times New Roman" w:hAnsi="Times New Roman" w:cs="Times New Roman"/>
          <w:b/>
          <w:bCs/>
        </w:rPr>
        <w:t>T</w:t>
      </w:r>
      <w:r w:rsidRPr="004E75B3">
        <w:rPr>
          <w:rFonts w:ascii="Times New Roman" w:hAnsi="Times New Roman" w:cs="Times New Roman"/>
          <w:b/>
          <w:bCs/>
        </w:rPr>
        <w:t>houghts</w:t>
      </w:r>
    </w:p>
    <w:p w14:paraId="70F75800" w14:textId="77777777" w:rsidR="00880067" w:rsidRPr="004E75B3" w:rsidRDefault="00880067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4356F" w14:textId="539A419A" w:rsidR="005E34DF" w:rsidRPr="004E75B3" w:rsidRDefault="005E34DF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The Report indicates that the SEC has continued to enhance its risk assessment capabilities, more recently by leveraging data and information to identify firms and practices that could present elevated </w:t>
      </w:r>
      <w:r w:rsidR="002144CA" w:rsidRPr="004E75B3">
        <w:rPr>
          <w:rFonts w:ascii="Times New Roman" w:hAnsi="Times New Roman" w:cs="Times New Roman"/>
        </w:rPr>
        <w:t>levels of risk</w:t>
      </w:r>
      <w:r w:rsidRPr="004E75B3">
        <w:rPr>
          <w:rFonts w:ascii="Times New Roman" w:hAnsi="Times New Roman" w:cs="Times New Roman"/>
        </w:rPr>
        <w:t xml:space="preserve"> to investors and the markets.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694BBD" w:rsidRPr="004E75B3">
        <w:rPr>
          <w:rFonts w:ascii="Times New Roman" w:hAnsi="Times New Roman" w:cs="Times New Roman"/>
        </w:rPr>
        <w:t xml:space="preserve">The Report states that the Division has hired skilled quantitative analysts and financial engineers to perform sophisticated data analytics </w:t>
      </w:r>
      <w:r w:rsidR="00D5505C" w:rsidRPr="004E75B3">
        <w:rPr>
          <w:rFonts w:ascii="Times New Roman" w:hAnsi="Times New Roman" w:cs="Times New Roman"/>
        </w:rPr>
        <w:t xml:space="preserve">in order </w:t>
      </w:r>
      <w:r w:rsidR="00694BBD" w:rsidRPr="004E75B3">
        <w:rPr>
          <w:rFonts w:ascii="Times New Roman" w:hAnsi="Times New Roman" w:cs="Times New Roman"/>
        </w:rPr>
        <w:t>to identify potential examination candidates and analyze large amounts of trade and other financial data.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694BBD" w:rsidRPr="004E75B3">
        <w:rPr>
          <w:rFonts w:ascii="Times New Roman" w:hAnsi="Times New Roman" w:cs="Times New Roman"/>
        </w:rPr>
        <w:t>It appears that, as a result of these efforts, certain rule violations that previously may have gone unnoticed are now becoming easy targets of enforcement.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694BBD" w:rsidRPr="004E75B3">
        <w:rPr>
          <w:rFonts w:ascii="Times New Roman" w:hAnsi="Times New Roman" w:cs="Times New Roman"/>
        </w:rPr>
        <w:t>In September</w:t>
      </w:r>
      <w:r w:rsidR="00694BBD" w:rsidRPr="004E75B3">
        <w:rPr>
          <w:rFonts w:ascii="Times New Roman" w:hAnsi="Times New Roman" w:cs="Times New Roman"/>
        </w:rPr>
        <w:t xml:space="preserve"> 2024</w:t>
      </w:r>
      <w:r w:rsidR="00694BBD" w:rsidRPr="004E75B3">
        <w:rPr>
          <w:rFonts w:ascii="Times New Roman" w:hAnsi="Times New Roman" w:cs="Times New Roman"/>
        </w:rPr>
        <w:t xml:space="preserve">, for example, the SEC </w:t>
      </w:r>
      <w:hyperlink r:id="rId10" w:history="1">
        <w:r w:rsidR="00694BBD" w:rsidRPr="004E75B3">
          <w:rPr>
            <w:rStyle w:val="Hyperlink"/>
            <w:rFonts w:ascii="Times New Roman" w:hAnsi="Times New Roman" w:cs="Times New Roman"/>
          </w:rPr>
          <w:t>levied penalties</w:t>
        </w:r>
      </w:hyperlink>
      <w:r w:rsidR="00694BBD" w:rsidRPr="004E75B3">
        <w:rPr>
          <w:rFonts w:ascii="Times New Roman" w:hAnsi="Times New Roman" w:cs="Times New Roman"/>
        </w:rPr>
        <w:t xml:space="preserve"> against various companies and individuals over failures to timely file information about securities holdings (through </w:t>
      </w:r>
      <w:r w:rsidR="00694BBD" w:rsidRPr="004E75B3">
        <w:rPr>
          <w:rFonts w:ascii="Times New Roman" w:hAnsi="Times New Roman" w:cs="Times New Roman"/>
        </w:rPr>
        <w:t>S</w:t>
      </w:r>
      <w:r w:rsidR="00694BBD" w:rsidRPr="004E75B3">
        <w:rPr>
          <w:rFonts w:ascii="Times New Roman" w:hAnsi="Times New Roman" w:cs="Times New Roman"/>
        </w:rPr>
        <w:t xml:space="preserve">chedules 13D and 13G) and public company stock transactions (through </w:t>
      </w:r>
      <w:r w:rsidR="00694BBD" w:rsidRPr="004E75B3">
        <w:rPr>
          <w:rFonts w:ascii="Times New Roman" w:hAnsi="Times New Roman" w:cs="Times New Roman"/>
        </w:rPr>
        <w:t>F</w:t>
      </w:r>
      <w:r w:rsidR="00694BBD" w:rsidRPr="004E75B3">
        <w:rPr>
          <w:rFonts w:ascii="Times New Roman" w:hAnsi="Times New Roman" w:cs="Times New Roman"/>
        </w:rPr>
        <w:t>orms 3, 4, and 5).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694BBD" w:rsidRPr="004E75B3">
        <w:rPr>
          <w:rFonts w:ascii="Times New Roman" w:hAnsi="Times New Roman" w:cs="Times New Roman"/>
        </w:rPr>
        <w:t>The SEC</w:t>
      </w:r>
      <w:r w:rsidR="002144CA" w:rsidRPr="004E75B3">
        <w:rPr>
          <w:rFonts w:ascii="Times New Roman" w:hAnsi="Times New Roman" w:cs="Times New Roman"/>
        </w:rPr>
        <w:t xml:space="preserve"> </w:t>
      </w:r>
      <w:r w:rsidR="00694BBD" w:rsidRPr="004E75B3">
        <w:rPr>
          <w:rFonts w:ascii="Times New Roman" w:hAnsi="Times New Roman" w:cs="Times New Roman"/>
        </w:rPr>
        <w:t>indicated that it had relied on data analytics to identify the</w:t>
      </w:r>
      <w:r w:rsidR="002144CA" w:rsidRPr="004E75B3">
        <w:rPr>
          <w:rFonts w:ascii="Times New Roman" w:hAnsi="Times New Roman" w:cs="Times New Roman"/>
        </w:rPr>
        <w:t>se</w:t>
      </w:r>
      <w:r w:rsidR="00694BBD" w:rsidRPr="004E75B3">
        <w:rPr>
          <w:rFonts w:ascii="Times New Roman" w:hAnsi="Times New Roman" w:cs="Times New Roman"/>
        </w:rPr>
        <w:t xml:space="preserve"> late filers.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2144CA" w:rsidRPr="004E75B3">
        <w:rPr>
          <w:rFonts w:ascii="Times New Roman" w:hAnsi="Times New Roman" w:cs="Times New Roman"/>
        </w:rPr>
        <w:t>Thus, i</w:t>
      </w:r>
      <w:r w:rsidR="00694BBD" w:rsidRPr="004E75B3">
        <w:rPr>
          <w:rFonts w:ascii="Times New Roman" w:hAnsi="Times New Roman" w:cs="Times New Roman"/>
        </w:rPr>
        <w:t xml:space="preserve">nvestment advisers should be aware of the SEC’s enhanced abilities to monitor and punish </w:t>
      </w:r>
      <w:r w:rsidR="00736AE4" w:rsidRPr="004E75B3">
        <w:rPr>
          <w:rFonts w:ascii="Times New Roman" w:hAnsi="Times New Roman" w:cs="Times New Roman"/>
        </w:rPr>
        <w:t>technical rule violations.</w:t>
      </w:r>
      <w:r w:rsidR="00D8177A" w:rsidRPr="004E75B3">
        <w:rPr>
          <w:rFonts w:ascii="Times New Roman" w:hAnsi="Times New Roman" w:cs="Times New Roman"/>
        </w:rPr>
        <w:t xml:space="preserve"> </w:t>
      </w:r>
    </w:p>
    <w:p w14:paraId="1DACBB00" w14:textId="77777777" w:rsidR="00736AE4" w:rsidRPr="004E75B3" w:rsidRDefault="00736AE4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F8628" w14:textId="283C5300" w:rsidR="00736AE4" w:rsidRPr="004E75B3" w:rsidRDefault="00736AE4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Consistent with</w:t>
      </w:r>
      <w:r w:rsidR="000F5BBB" w:rsidRPr="004E75B3">
        <w:rPr>
          <w:rFonts w:ascii="Times New Roman" w:hAnsi="Times New Roman" w:cs="Times New Roman"/>
        </w:rPr>
        <w:t xml:space="preserve"> reported</w:t>
      </w:r>
      <w:r w:rsidR="002144CA" w:rsidRPr="004E75B3">
        <w:rPr>
          <w:rFonts w:ascii="Times New Roman" w:hAnsi="Times New Roman" w:cs="Times New Roman"/>
        </w:rPr>
        <w:t xml:space="preserve"> priorities </w:t>
      </w:r>
      <w:r w:rsidR="000F5BBB" w:rsidRPr="004E75B3">
        <w:rPr>
          <w:rFonts w:ascii="Times New Roman" w:hAnsi="Times New Roman" w:cs="Times New Roman"/>
        </w:rPr>
        <w:t>from</w:t>
      </w:r>
      <w:r w:rsidR="002144CA" w:rsidRPr="004E75B3">
        <w:rPr>
          <w:rFonts w:ascii="Times New Roman" w:hAnsi="Times New Roman" w:cs="Times New Roman"/>
        </w:rPr>
        <w:t xml:space="preserve"> </w:t>
      </w:r>
      <w:r w:rsidRPr="004E75B3">
        <w:rPr>
          <w:rFonts w:ascii="Times New Roman" w:hAnsi="Times New Roman" w:cs="Times New Roman"/>
        </w:rPr>
        <w:t>recent years, the Division continues to emphasize that investment advisers must adhere to their fiduciary duties to clients.</w:t>
      </w:r>
      <w:r w:rsidR="00D8177A" w:rsidRPr="004E75B3">
        <w:rPr>
          <w:rFonts w:ascii="Times New Roman" w:hAnsi="Times New Roman" w:cs="Times New Roman"/>
        </w:rPr>
        <w:t xml:space="preserve"> </w:t>
      </w:r>
      <w:r w:rsidRPr="004E75B3">
        <w:rPr>
          <w:rFonts w:ascii="Times New Roman" w:hAnsi="Times New Roman" w:cs="Times New Roman"/>
        </w:rPr>
        <w:t xml:space="preserve">In 2019, when the SEC </w:t>
      </w:r>
      <w:hyperlink r:id="rId11" w:history="1">
        <w:r w:rsidRPr="004E75B3">
          <w:rPr>
            <w:rStyle w:val="Hyperlink"/>
            <w:rFonts w:ascii="Times New Roman" w:hAnsi="Times New Roman" w:cs="Times New Roman"/>
          </w:rPr>
          <w:t>clarified its position</w:t>
        </w:r>
      </w:hyperlink>
      <w:r w:rsidRPr="004E75B3">
        <w:rPr>
          <w:rFonts w:ascii="Times New Roman" w:hAnsi="Times New Roman" w:cs="Times New Roman"/>
        </w:rPr>
        <w:t xml:space="preserve"> on fiduciary duties with an </w:t>
      </w:r>
      <w:hyperlink r:id="rId12" w:history="1">
        <w:r w:rsidRPr="004E75B3">
          <w:rPr>
            <w:rStyle w:val="Hyperlink"/>
            <w:rFonts w:ascii="Times New Roman" w:hAnsi="Times New Roman" w:cs="Times New Roman"/>
          </w:rPr>
          <w:t>interpretation</w:t>
        </w:r>
      </w:hyperlink>
      <w:r w:rsidRPr="004E75B3">
        <w:rPr>
          <w:rFonts w:ascii="Times New Roman" w:hAnsi="Times New Roman" w:cs="Times New Roman"/>
        </w:rPr>
        <w:t xml:space="preserve"> regarding standards of conduct, it emphasized that client sophistication and </w:t>
      </w:r>
      <w:r w:rsidR="0068485A" w:rsidRPr="004E75B3">
        <w:rPr>
          <w:rFonts w:ascii="Times New Roman" w:hAnsi="Times New Roman" w:cs="Times New Roman"/>
        </w:rPr>
        <w:t xml:space="preserve">the </w:t>
      </w:r>
      <w:r w:rsidRPr="004E75B3">
        <w:rPr>
          <w:rFonts w:ascii="Times New Roman" w:hAnsi="Times New Roman" w:cs="Times New Roman"/>
        </w:rPr>
        <w:t>scope of the advisory relationship affect the fiduciary duties owed to clients.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13536B" w:rsidRPr="004E75B3">
        <w:rPr>
          <w:rFonts w:ascii="Times New Roman" w:hAnsi="Times New Roman" w:cs="Times New Roman"/>
        </w:rPr>
        <w:t>Later, i</w:t>
      </w:r>
      <w:r w:rsidRPr="004E75B3">
        <w:rPr>
          <w:rFonts w:ascii="Times New Roman" w:hAnsi="Times New Roman" w:cs="Times New Roman"/>
        </w:rPr>
        <w:t xml:space="preserve">n the SEC’s </w:t>
      </w:r>
      <w:hyperlink r:id="rId13" w:history="1">
        <w:r w:rsidRPr="004E75B3">
          <w:rPr>
            <w:rStyle w:val="Hyperlink"/>
            <w:rFonts w:ascii="Times New Roman" w:hAnsi="Times New Roman" w:cs="Times New Roman"/>
          </w:rPr>
          <w:t>2023 adopting release</w:t>
        </w:r>
      </w:hyperlink>
      <w:r w:rsidRPr="004E75B3">
        <w:rPr>
          <w:rFonts w:ascii="Times New Roman" w:hAnsi="Times New Roman" w:cs="Times New Roman"/>
        </w:rPr>
        <w:t xml:space="preserve"> for the Private Fund Adviser Rules (PFARs), the</w:t>
      </w:r>
      <w:r w:rsidR="0013536B" w:rsidRPr="004E75B3">
        <w:rPr>
          <w:rFonts w:ascii="Times New Roman" w:hAnsi="Times New Roman" w:cs="Times New Roman"/>
        </w:rPr>
        <w:t xml:space="preserve"> SEC </w:t>
      </w:r>
      <w:r w:rsidR="00332206" w:rsidRPr="004E75B3">
        <w:rPr>
          <w:rFonts w:ascii="Times New Roman" w:hAnsi="Times New Roman" w:cs="Times New Roman"/>
        </w:rPr>
        <w:t>expressed</w:t>
      </w:r>
      <w:r w:rsidR="0013536B" w:rsidRPr="004E75B3">
        <w:rPr>
          <w:rFonts w:ascii="Times New Roman" w:hAnsi="Times New Roman" w:cs="Times New Roman"/>
        </w:rPr>
        <w:t xml:space="preserve"> that it maintained greater flexibility to interpret and enforce the fiduciary duties of private fund advisers.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13536B" w:rsidRPr="004E75B3">
        <w:rPr>
          <w:rFonts w:ascii="Times New Roman" w:hAnsi="Times New Roman" w:cs="Times New Roman"/>
        </w:rPr>
        <w:t xml:space="preserve">Among other examples, the SEC indicated that the inclusion of “hedge clauses” in advisory agreements </w:t>
      </w:r>
      <w:r w:rsidR="000F5BBB" w:rsidRPr="004E75B3">
        <w:rPr>
          <w:rFonts w:ascii="Times New Roman" w:hAnsi="Times New Roman" w:cs="Times New Roman"/>
        </w:rPr>
        <w:t>and</w:t>
      </w:r>
      <w:r w:rsidR="0013536B" w:rsidRPr="004E75B3">
        <w:rPr>
          <w:rFonts w:ascii="Times New Roman" w:hAnsi="Times New Roman" w:cs="Times New Roman"/>
        </w:rPr>
        <w:t xml:space="preserve"> fund documents may conflict with those </w:t>
      </w:r>
      <w:r w:rsidR="00332206" w:rsidRPr="004E75B3">
        <w:rPr>
          <w:rFonts w:ascii="Times New Roman" w:hAnsi="Times New Roman" w:cs="Times New Roman"/>
        </w:rPr>
        <w:t xml:space="preserve">fiduciary </w:t>
      </w:r>
      <w:r w:rsidR="0013536B" w:rsidRPr="004E75B3">
        <w:rPr>
          <w:rFonts w:ascii="Times New Roman" w:hAnsi="Times New Roman" w:cs="Times New Roman"/>
        </w:rPr>
        <w:t>duties.</w:t>
      </w:r>
    </w:p>
    <w:p w14:paraId="4A4E3F33" w14:textId="77777777" w:rsidR="0013536B" w:rsidRPr="004E75B3" w:rsidRDefault="0013536B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44A7C" w14:textId="67737344" w:rsidR="00A24B58" w:rsidRPr="004E75B3" w:rsidRDefault="0013536B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Though the PFARs were ultimately struck down by the </w:t>
      </w:r>
      <w:r w:rsidR="001B0B4C" w:rsidRPr="004E75B3">
        <w:rPr>
          <w:rFonts w:ascii="Times New Roman" w:hAnsi="Times New Roman" w:cs="Times New Roman"/>
        </w:rPr>
        <w:t>U.S. Court of Appeals for the Fifth Circuit o</w:t>
      </w:r>
      <w:r w:rsidRPr="004E75B3">
        <w:rPr>
          <w:rFonts w:ascii="Times New Roman" w:hAnsi="Times New Roman" w:cs="Times New Roman"/>
        </w:rPr>
        <w:t xml:space="preserve">n June </w:t>
      </w:r>
      <w:r w:rsidR="001B0B4C" w:rsidRPr="004E75B3">
        <w:rPr>
          <w:rFonts w:ascii="Times New Roman" w:hAnsi="Times New Roman" w:cs="Times New Roman"/>
        </w:rPr>
        <w:t xml:space="preserve">5, </w:t>
      </w:r>
      <w:r w:rsidRPr="004E75B3">
        <w:rPr>
          <w:rFonts w:ascii="Times New Roman" w:hAnsi="Times New Roman" w:cs="Times New Roman"/>
        </w:rPr>
        <w:t xml:space="preserve">2024, </w:t>
      </w:r>
      <w:r w:rsidRPr="004E75B3">
        <w:rPr>
          <w:rFonts w:ascii="Times New Roman" w:hAnsi="Times New Roman" w:cs="Times New Roman"/>
        </w:rPr>
        <w:t>the SEC may still seek to prosecute advisers under the broad theory of fiduciary duty contemplated by the PFARs</w:t>
      </w:r>
      <w:r w:rsidR="00D5505C" w:rsidRPr="004E75B3">
        <w:rPr>
          <w:rFonts w:ascii="Times New Roman" w:hAnsi="Times New Roman" w:cs="Times New Roman"/>
        </w:rPr>
        <w:t>’</w:t>
      </w:r>
      <w:r w:rsidRPr="004E75B3">
        <w:rPr>
          <w:rFonts w:ascii="Times New Roman" w:hAnsi="Times New Roman" w:cs="Times New Roman"/>
        </w:rPr>
        <w:t xml:space="preserve"> adopting release.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A24B58" w:rsidRPr="004E75B3">
        <w:rPr>
          <w:rFonts w:ascii="Times New Roman" w:hAnsi="Times New Roman" w:cs="Times New Roman"/>
        </w:rPr>
        <w:t>As a preliminary example,</w:t>
      </w:r>
      <w:r w:rsidRPr="004E75B3">
        <w:rPr>
          <w:rFonts w:ascii="Times New Roman" w:hAnsi="Times New Roman" w:cs="Times New Roman"/>
        </w:rPr>
        <w:t xml:space="preserve"> </w:t>
      </w:r>
      <w:r w:rsidR="001B0B4C" w:rsidRPr="004E75B3">
        <w:rPr>
          <w:rFonts w:ascii="Times New Roman" w:hAnsi="Times New Roman" w:cs="Times New Roman"/>
        </w:rPr>
        <w:t>in September</w:t>
      </w:r>
      <w:r w:rsidR="001B0B4C" w:rsidRPr="004E75B3">
        <w:rPr>
          <w:rFonts w:ascii="Times New Roman" w:hAnsi="Times New Roman" w:cs="Times New Roman"/>
        </w:rPr>
        <w:t xml:space="preserve"> 2024</w:t>
      </w:r>
      <w:r w:rsidR="001B0B4C" w:rsidRPr="004E75B3">
        <w:rPr>
          <w:rFonts w:ascii="Times New Roman" w:hAnsi="Times New Roman" w:cs="Times New Roman"/>
        </w:rPr>
        <w:t xml:space="preserve">, </w:t>
      </w:r>
      <w:r w:rsidRPr="004E75B3">
        <w:rPr>
          <w:rFonts w:ascii="Times New Roman" w:hAnsi="Times New Roman" w:cs="Times New Roman"/>
        </w:rPr>
        <w:t xml:space="preserve">the SEC </w:t>
      </w:r>
      <w:hyperlink r:id="rId14" w:history="1">
        <w:r w:rsidR="001B0B4C" w:rsidRPr="004E75B3">
          <w:rPr>
            <w:rStyle w:val="Hyperlink"/>
            <w:rFonts w:ascii="Times New Roman" w:hAnsi="Times New Roman" w:cs="Times New Roman"/>
          </w:rPr>
          <w:t>settled charges</w:t>
        </w:r>
      </w:hyperlink>
      <w:r w:rsidRPr="004E75B3">
        <w:rPr>
          <w:rFonts w:ascii="Times New Roman" w:hAnsi="Times New Roman" w:cs="Times New Roman"/>
        </w:rPr>
        <w:t xml:space="preserve"> with a private fund adviser for including hedge clauses in a private fund operating agreement that purported to irrevocably waive claims against the adviser for breaches of fiduciary duty</w:t>
      </w:r>
      <w:r w:rsidR="008B3EA1" w:rsidRPr="004E75B3">
        <w:rPr>
          <w:rFonts w:ascii="Times New Roman" w:hAnsi="Times New Roman" w:cs="Times New Roman"/>
        </w:rPr>
        <w:t xml:space="preserve"> on the basis that this clause was inconsistent with that fiduciary duty.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A24B58" w:rsidRPr="004E75B3">
        <w:rPr>
          <w:rFonts w:ascii="Times New Roman" w:hAnsi="Times New Roman" w:cs="Times New Roman"/>
        </w:rPr>
        <w:t>As another example,</w:t>
      </w:r>
      <w:r w:rsidR="008B3EA1" w:rsidRPr="004E75B3">
        <w:rPr>
          <w:rFonts w:ascii="Times New Roman" w:hAnsi="Times New Roman" w:cs="Times New Roman"/>
        </w:rPr>
        <w:t xml:space="preserve"> </w:t>
      </w:r>
      <w:r w:rsidR="001B0B4C" w:rsidRPr="004E75B3">
        <w:rPr>
          <w:rFonts w:ascii="Times New Roman" w:hAnsi="Times New Roman" w:cs="Times New Roman"/>
        </w:rPr>
        <w:t>again in September</w:t>
      </w:r>
      <w:r w:rsidR="001B0B4C" w:rsidRPr="004E75B3">
        <w:rPr>
          <w:rFonts w:ascii="Times New Roman" w:hAnsi="Times New Roman" w:cs="Times New Roman"/>
        </w:rPr>
        <w:t xml:space="preserve"> 2024</w:t>
      </w:r>
      <w:r w:rsidR="001B0B4C" w:rsidRPr="004E75B3">
        <w:rPr>
          <w:rFonts w:ascii="Times New Roman" w:hAnsi="Times New Roman" w:cs="Times New Roman"/>
        </w:rPr>
        <w:t xml:space="preserve">, </w:t>
      </w:r>
      <w:r w:rsidR="008B3EA1" w:rsidRPr="004E75B3">
        <w:rPr>
          <w:rFonts w:ascii="Times New Roman" w:hAnsi="Times New Roman" w:cs="Times New Roman"/>
        </w:rPr>
        <w:t xml:space="preserve">the SEC </w:t>
      </w:r>
      <w:hyperlink r:id="rId15" w:history="1">
        <w:r w:rsidR="008B3EA1" w:rsidRPr="004E75B3">
          <w:rPr>
            <w:rStyle w:val="Hyperlink"/>
            <w:rFonts w:ascii="Times New Roman" w:hAnsi="Times New Roman" w:cs="Times New Roman"/>
          </w:rPr>
          <w:t>charged an adviser</w:t>
        </w:r>
      </w:hyperlink>
      <w:r w:rsidR="008B3EA1" w:rsidRPr="004E75B3">
        <w:rPr>
          <w:rFonts w:ascii="Times New Roman" w:hAnsi="Times New Roman" w:cs="Times New Roman"/>
        </w:rPr>
        <w:t xml:space="preserve"> over the adviser’s informal practice of permitting certain fund investors to redeem their interests in </w:t>
      </w:r>
      <w:r w:rsidR="00332206" w:rsidRPr="004E75B3">
        <w:rPr>
          <w:rFonts w:ascii="Times New Roman" w:hAnsi="Times New Roman" w:cs="Times New Roman"/>
        </w:rPr>
        <w:t>the</w:t>
      </w:r>
      <w:r w:rsidR="008B3EA1" w:rsidRPr="004E75B3">
        <w:rPr>
          <w:rFonts w:ascii="Times New Roman" w:hAnsi="Times New Roman" w:cs="Times New Roman"/>
        </w:rPr>
        <w:t xml:space="preserve"> fund on shorter notice than what was stated in its policies on the basis that </w:t>
      </w:r>
      <w:r w:rsidR="00332206" w:rsidRPr="004E75B3">
        <w:rPr>
          <w:rFonts w:ascii="Times New Roman" w:hAnsi="Times New Roman" w:cs="Times New Roman"/>
        </w:rPr>
        <w:t>this</w:t>
      </w:r>
      <w:r w:rsidR="008B3EA1" w:rsidRPr="004E75B3">
        <w:rPr>
          <w:rFonts w:ascii="Times New Roman" w:hAnsi="Times New Roman" w:cs="Times New Roman"/>
        </w:rPr>
        <w:t xml:space="preserve"> practice was misleading to other investors.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8B3EA1" w:rsidRPr="004E75B3">
        <w:rPr>
          <w:rFonts w:ascii="Times New Roman" w:hAnsi="Times New Roman" w:cs="Times New Roman"/>
        </w:rPr>
        <w:t xml:space="preserve">Advisers should be aware </w:t>
      </w:r>
      <w:r w:rsidR="001B0B4C" w:rsidRPr="004E75B3">
        <w:rPr>
          <w:rFonts w:ascii="Times New Roman" w:hAnsi="Times New Roman" w:cs="Times New Roman"/>
        </w:rPr>
        <w:t>that</w:t>
      </w:r>
      <w:r w:rsidR="008B3EA1" w:rsidRPr="004E75B3">
        <w:rPr>
          <w:rFonts w:ascii="Times New Roman" w:hAnsi="Times New Roman" w:cs="Times New Roman"/>
        </w:rPr>
        <w:t xml:space="preserve"> the SEC may continue to bring enforcement actions over </w:t>
      </w:r>
      <w:r w:rsidR="001B0B4C" w:rsidRPr="004E75B3">
        <w:rPr>
          <w:rFonts w:ascii="Times New Roman" w:hAnsi="Times New Roman" w:cs="Times New Roman"/>
        </w:rPr>
        <w:t xml:space="preserve">similar </w:t>
      </w:r>
      <w:r w:rsidR="008B3EA1" w:rsidRPr="004E75B3">
        <w:rPr>
          <w:rFonts w:ascii="Times New Roman" w:hAnsi="Times New Roman" w:cs="Times New Roman"/>
        </w:rPr>
        <w:t xml:space="preserve">adviser behavior on the grounds that such behavior is misleading or in breach of fiduciary duties. </w:t>
      </w:r>
    </w:p>
    <w:p w14:paraId="3B6049A1" w14:textId="77777777" w:rsidR="00A24B58" w:rsidRPr="004E75B3" w:rsidRDefault="00A24B58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90A80" w14:textId="6F2C8BF8" w:rsidR="00A553D1" w:rsidRPr="004E75B3" w:rsidRDefault="00A24B58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It is also noteworthy that many of the Report’s priorities</w:t>
      </w:r>
      <w:r w:rsidR="00A553D1" w:rsidRPr="004E75B3">
        <w:rPr>
          <w:rFonts w:ascii="Times New Roman" w:hAnsi="Times New Roman" w:cs="Times New Roman"/>
        </w:rPr>
        <w:t xml:space="preserve"> are consistent with topics of enforcement actions that the SEC brought </w:t>
      </w:r>
      <w:r w:rsidR="00A553D1" w:rsidRPr="004E75B3">
        <w:rPr>
          <w:rFonts w:ascii="Times New Roman" w:hAnsi="Times New Roman" w:cs="Times New Roman"/>
        </w:rPr>
        <w:t>in 2024</w:t>
      </w:r>
      <w:r w:rsidR="00A553D1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A553D1" w:rsidRPr="004E75B3">
        <w:rPr>
          <w:rFonts w:ascii="Times New Roman" w:hAnsi="Times New Roman" w:cs="Times New Roman"/>
        </w:rPr>
        <w:t xml:space="preserve">For example, </w:t>
      </w:r>
      <w:r w:rsidR="002107D7" w:rsidRPr="004E75B3">
        <w:rPr>
          <w:rFonts w:ascii="Times New Roman" w:hAnsi="Times New Roman" w:cs="Times New Roman"/>
        </w:rPr>
        <w:t xml:space="preserve">in </w:t>
      </w:r>
      <w:hyperlink r:id="rId16" w:history="1">
        <w:r w:rsidR="002107D7" w:rsidRPr="004E75B3">
          <w:rPr>
            <w:rStyle w:val="Hyperlink"/>
            <w:rFonts w:ascii="Times New Roman" w:hAnsi="Times New Roman" w:cs="Times New Roman"/>
          </w:rPr>
          <w:t>August</w:t>
        </w:r>
      </w:hyperlink>
      <w:r w:rsidR="002107D7" w:rsidRPr="004E75B3">
        <w:rPr>
          <w:rFonts w:ascii="Times New Roman" w:hAnsi="Times New Roman" w:cs="Times New Roman"/>
        </w:rPr>
        <w:t xml:space="preserve"> and again in </w:t>
      </w:r>
      <w:hyperlink r:id="rId17" w:history="1">
        <w:r w:rsidR="002107D7" w:rsidRPr="004E75B3">
          <w:rPr>
            <w:rStyle w:val="Hyperlink"/>
            <w:rFonts w:ascii="Times New Roman" w:hAnsi="Times New Roman" w:cs="Times New Roman"/>
          </w:rPr>
          <w:t>September</w:t>
        </w:r>
      </w:hyperlink>
      <w:r w:rsidR="002107D7" w:rsidRPr="004E75B3">
        <w:rPr>
          <w:rFonts w:ascii="Times New Roman" w:hAnsi="Times New Roman" w:cs="Times New Roman"/>
        </w:rPr>
        <w:t xml:space="preserve">, the SEC charged SEC-registered investment advisers for failing to implement policies and procedures reasonably designed to prevent the misuse of </w:t>
      </w:r>
      <w:r w:rsidR="001B0B4C" w:rsidRPr="004E75B3">
        <w:rPr>
          <w:rFonts w:ascii="Times New Roman" w:hAnsi="Times New Roman" w:cs="Times New Roman"/>
        </w:rPr>
        <w:t>material nonpublic information (</w:t>
      </w:r>
      <w:r w:rsidR="002107D7" w:rsidRPr="004E75B3">
        <w:rPr>
          <w:rFonts w:ascii="Times New Roman" w:hAnsi="Times New Roman" w:cs="Times New Roman"/>
        </w:rPr>
        <w:t>MNPI</w:t>
      </w:r>
      <w:r w:rsidR="001B0B4C" w:rsidRPr="004E75B3">
        <w:rPr>
          <w:rFonts w:ascii="Times New Roman" w:hAnsi="Times New Roman" w:cs="Times New Roman"/>
        </w:rPr>
        <w:t xml:space="preserve">) </w:t>
      </w:r>
      <w:r w:rsidR="002107D7" w:rsidRPr="004E75B3">
        <w:rPr>
          <w:rFonts w:ascii="Times New Roman" w:hAnsi="Times New Roman" w:cs="Times New Roman"/>
        </w:rPr>
        <w:t xml:space="preserve">related to </w:t>
      </w:r>
      <w:r w:rsidR="002107D7" w:rsidRPr="004E75B3">
        <w:rPr>
          <w:rFonts w:ascii="Times New Roman" w:hAnsi="Times New Roman" w:cs="Times New Roman"/>
        </w:rPr>
        <w:lastRenderedPageBreak/>
        <w:t>the firms</w:t>
      </w:r>
      <w:r w:rsidR="00751504" w:rsidRPr="004E75B3">
        <w:rPr>
          <w:rFonts w:ascii="Times New Roman" w:hAnsi="Times New Roman" w:cs="Times New Roman"/>
        </w:rPr>
        <w:t>’</w:t>
      </w:r>
      <w:r w:rsidR="002107D7" w:rsidRPr="004E75B3">
        <w:rPr>
          <w:rFonts w:ascii="Times New Roman" w:hAnsi="Times New Roman" w:cs="Times New Roman"/>
        </w:rPr>
        <w:t xml:space="preserve"> participation in ad hoc lender groups and creditors</w:t>
      </w:r>
      <w:r w:rsidR="00751504" w:rsidRPr="004E75B3">
        <w:rPr>
          <w:rFonts w:ascii="Times New Roman" w:hAnsi="Times New Roman" w:cs="Times New Roman"/>
        </w:rPr>
        <w:t>’</w:t>
      </w:r>
      <w:r w:rsidR="002107D7" w:rsidRPr="004E75B3">
        <w:rPr>
          <w:rFonts w:ascii="Times New Roman" w:hAnsi="Times New Roman" w:cs="Times New Roman"/>
        </w:rPr>
        <w:t xml:space="preserve"> committees.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2107D7" w:rsidRPr="004E75B3">
        <w:rPr>
          <w:rFonts w:ascii="Times New Roman" w:hAnsi="Times New Roman" w:cs="Times New Roman"/>
        </w:rPr>
        <w:t xml:space="preserve">Though the SEC did not allege insider trading in either action, </w:t>
      </w:r>
      <w:r w:rsidR="002E56AC" w:rsidRPr="004E75B3">
        <w:rPr>
          <w:rFonts w:ascii="Times New Roman" w:hAnsi="Times New Roman" w:cs="Times New Roman"/>
        </w:rPr>
        <w:t>it</w:t>
      </w:r>
      <w:r w:rsidR="002107D7" w:rsidRPr="004E75B3">
        <w:rPr>
          <w:rFonts w:ascii="Times New Roman" w:hAnsi="Times New Roman" w:cs="Times New Roman"/>
        </w:rPr>
        <w:t xml:space="preserve"> found that the firms’ policies failed to establish adequate procedures for monitoring or supervising firm personnel</w:t>
      </w:r>
      <w:r w:rsidR="00751504" w:rsidRPr="004E75B3">
        <w:rPr>
          <w:rFonts w:ascii="Times New Roman" w:hAnsi="Times New Roman" w:cs="Times New Roman"/>
        </w:rPr>
        <w:t>’</w:t>
      </w:r>
      <w:r w:rsidR="002107D7" w:rsidRPr="004E75B3">
        <w:rPr>
          <w:rFonts w:ascii="Times New Roman" w:hAnsi="Times New Roman" w:cs="Times New Roman"/>
        </w:rPr>
        <w:t>s participation in such committees</w:t>
      </w:r>
      <w:r w:rsidR="0084314D" w:rsidRPr="004E75B3">
        <w:rPr>
          <w:rFonts w:ascii="Times New Roman" w:hAnsi="Times New Roman" w:cs="Times New Roman"/>
        </w:rPr>
        <w:t xml:space="preserve"> to prevent unauthorized receipt o</w:t>
      </w:r>
      <w:r w:rsidR="002E56AC" w:rsidRPr="004E75B3">
        <w:rPr>
          <w:rFonts w:ascii="Times New Roman" w:hAnsi="Times New Roman" w:cs="Times New Roman"/>
        </w:rPr>
        <w:t>r</w:t>
      </w:r>
      <w:r w:rsidR="0084314D" w:rsidRPr="004E75B3">
        <w:rPr>
          <w:rFonts w:ascii="Times New Roman" w:hAnsi="Times New Roman" w:cs="Times New Roman"/>
        </w:rPr>
        <w:t xml:space="preserve"> use of </w:t>
      </w:r>
      <w:r w:rsidR="002E56AC" w:rsidRPr="004E75B3">
        <w:rPr>
          <w:rFonts w:ascii="Times New Roman" w:hAnsi="Times New Roman" w:cs="Times New Roman"/>
        </w:rPr>
        <w:t>MNPI</w:t>
      </w:r>
      <w:r w:rsidR="0084314D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84314D" w:rsidRPr="004E75B3">
        <w:rPr>
          <w:rFonts w:ascii="Times New Roman" w:hAnsi="Times New Roman" w:cs="Times New Roman"/>
        </w:rPr>
        <w:t xml:space="preserve">The SEC also brought a number of enforcement actions </w:t>
      </w:r>
      <w:r w:rsidR="00751504" w:rsidRPr="004E75B3">
        <w:rPr>
          <w:rFonts w:ascii="Times New Roman" w:hAnsi="Times New Roman" w:cs="Times New Roman"/>
        </w:rPr>
        <w:t>this year</w:t>
      </w:r>
      <w:r w:rsidR="0084314D" w:rsidRPr="004E75B3">
        <w:rPr>
          <w:rFonts w:ascii="Times New Roman" w:hAnsi="Times New Roman" w:cs="Times New Roman"/>
        </w:rPr>
        <w:t xml:space="preserve"> alleging violations of the Marketing Rule and failures to make appropriate disclosures or adequately address conflicts of interest</w:t>
      </w:r>
      <w:r w:rsidR="0087228C" w:rsidRPr="004E75B3">
        <w:rPr>
          <w:rFonts w:ascii="Times New Roman" w:hAnsi="Times New Roman" w:cs="Times New Roman"/>
        </w:rPr>
        <w:t xml:space="preserve">, </w:t>
      </w:r>
      <w:r w:rsidR="003E48F8" w:rsidRPr="004E75B3">
        <w:rPr>
          <w:rFonts w:ascii="Times New Roman" w:hAnsi="Times New Roman" w:cs="Times New Roman"/>
        </w:rPr>
        <w:t>topics that ar</w:t>
      </w:r>
      <w:r w:rsidR="0087228C" w:rsidRPr="004E75B3">
        <w:rPr>
          <w:rFonts w:ascii="Times New Roman" w:hAnsi="Times New Roman" w:cs="Times New Roman"/>
        </w:rPr>
        <w:t>e</w:t>
      </w:r>
      <w:r w:rsidR="003E48F8" w:rsidRPr="004E75B3">
        <w:rPr>
          <w:rFonts w:ascii="Times New Roman" w:hAnsi="Times New Roman" w:cs="Times New Roman"/>
        </w:rPr>
        <w:t xml:space="preserve"> </w:t>
      </w:r>
      <w:r w:rsidR="002E56AC" w:rsidRPr="004E75B3">
        <w:rPr>
          <w:rFonts w:ascii="Times New Roman" w:hAnsi="Times New Roman" w:cs="Times New Roman"/>
        </w:rPr>
        <w:t xml:space="preserve">also </w:t>
      </w:r>
      <w:r w:rsidR="003E48F8" w:rsidRPr="004E75B3">
        <w:rPr>
          <w:rFonts w:ascii="Times New Roman" w:hAnsi="Times New Roman" w:cs="Times New Roman"/>
        </w:rPr>
        <w:t>highlighted in th</w:t>
      </w:r>
      <w:r w:rsidR="00751504" w:rsidRPr="004E75B3">
        <w:rPr>
          <w:rFonts w:ascii="Times New Roman" w:hAnsi="Times New Roman" w:cs="Times New Roman"/>
        </w:rPr>
        <w:t>e</w:t>
      </w:r>
      <w:r w:rsidR="003E48F8" w:rsidRPr="004E75B3">
        <w:rPr>
          <w:rFonts w:ascii="Times New Roman" w:hAnsi="Times New Roman" w:cs="Times New Roman"/>
        </w:rPr>
        <w:t xml:space="preserve"> Report as 2025 priorities</w:t>
      </w:r>
      <w:r w:rsidR="0084314D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</w:p>
    <w:p w14:paraId="6121BC80" w14:textId="77777777" w:rsidR="00A553D1" w:rsidRPr="004E75B3" w:rsidRDefault="00A553D1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509426" w14:textId="47077455" w:rsidR="007C10F7" w:rsidRPr="004E75B3" w:rsidRDefault="00A77873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>Looking ahead to 2025, investment adviser</w:t>
      </w:r>
      <w:r w:rsidR="003E48F8" w:rsidRPr="004E75B3">
        <w:rPr>
          <w:rFonts w:ascii="Times New Roman" w:hAnsi="Times New Roman" w:cs="Times New Roman"/>
        </w:rPr>
        <w:t>s</w:t>
      </w:r>
      <w:r w:rsidRPr="004E75B3">
        <w:rPr>
          <w:rFonts w:ascii="Times New Roman" w:hAnsi="Times New Roman" w:cs="Times New Roman"/>
        </w:rPr>
        <w:t xml:space="preserve"> should prioritize reviewing their policies and procedures </w:t>
      </w:r>
      <w:r w:rsidR="006E699B" w:rsidRPr="004E75B3">
        <w:rPr>
          <w:rFonts w:ascii="Times New Roman" w:hAnsi="Times New Roman" w:cs="Times New Roman"/>
        </w:rPr>
        <w:t>regarding</w:t>
      </w:r>
      <w:r w:rsidRPr="004E75B3">
        <w:rPr>
          <w:rFonts w:ascii="Times New Roman" w:hAnsi="Times New Roman" w:cs="Times New Roman"/>
        </w:rPr>
        <w:t xml:space="preserve"> adher</w:t>
      </w:r>
      <w:r w:rsidR="003E48F8" w:rsidRPr="004E75B3">
        <w:rPr>
          <w:rFonts w:ascii="Times New Roman" w:hAnsi="Times New Roman" w:cs="Times New Roman"/>
        </w:rPr>
        <w:t>ing</w:t>
      </w:r>
      <w:r w:rsidRPr="004E75B3">
        <w:rPr>
          <w:rFonts w:ascii="Times New Roman" w:hAnsi="Times New Roman" w:cs="Times New Roman"/>
        </w:rPr>
        <w:t xml:space="preserve"> to fiduciary duties</w:t>
      </w:r>
      <w:r w:rsidR="003E48F8" w:rsidRPr="004E75B3">
        <w:rPr>
          <w:rFonts w:ascii="Times New Roman" w:hAnsi="Times New Roman" w:cs="Times New Roman"/>
        </w:rPr>
        <w:t xml:space="preserve"> and</w:t>
      </w:r>
      <w:r w:rsidR="004F2863" w:rsidRPr="004E75B3">
        <w:rPr>
          <w:rFonts w:ascii="Times New Roman" w:hAnsi="Times New Roman" w:cs="Times New Roman"/>
        </w:rPr>
        <w:t xml:space="preserve"> would be well</w:t>
      </w:r>
      <w:r w:rsidR="00751504" w:rsidRPr="004E75B3">
        <w:rPr>
          <w:rFonts w:ascii="Times New Roman" w:hAnsi="Times New Roman" w:cs="Times New Roman"/>
        </w:rPr>
        <w:t xml:space="preserve"> </w:t>
      </w:r>
      <w:r w:rsidR="004F2863" w:rsidRPr="004E75B3">
        <w:rPr>
          <w:rFonts w:ascii="Times New Roman" w:hAnsi="Times New Roman" w:cs="Times New Roman"/>
        </w:rPr>
        <w:t>advised</w:t>
      </w:r>
      <w:r w:rsidR="0083734D" w:rsidRPr="004E75B3">
        <w:rPr>
          <w:rFonts w:ascii="Times New Roman" w:hAnsi="Times New Roman" w:cs="Times New Roman"/>
        </w:rPr>
        <w:t xml:space="preserve"> to</w:t>
      </w:r>
      <w:r w:rsidR="001B735B" w:rsidRPr="004E75B3">
        <w:rPr>
          <w:rFonts w:ascii="Times New Roman" w:hAnsi="Times New Roman" w:cs="Times New Roman"/>
        </w:rPr>
        <w:t xml:space="preserve"> revisit provisions in fund</w:t>
      </w:r>
      <w:r w:rsidR="000F5BBB" w:rsidRPr="004E75B3">
        <w:rPr>
          <w:rFonts w:ascii="Times New Roman" w:hAnsi="Times New Roman" w:cs="Times New Roman"/>
        </w:rPr>
        <w:t xml:space="preserve"> </w:t>
      </w:r>
      <w:r w:rsidR="001B735B" w:rsidRPr="004E75B3">
        <w:rPr>
          <w:rFonts w:ascii="Times New Roman" w:hAnsi="Times New Roman" w:cs="Times New Roman"/>
        </w:rPr>
        <w:t>governing documents that purport to waive, in whole or in part, the adviser’s fiduciary duties or specific obligations under the Advisers Act.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2A6BCB" w:rsidRPr="004E75B3">
        <w:rPr>
          <w:rFonts w:ascii="Times New Roman" w:hAnsi="Times New Roman" w:cs="Times New Roman"/>
        </w:rPr>
        <w:t>Advisers should also take note of the Report’s</w:t>
      </w:r>
      <w:r w:rsidR="000F5BBB" w:rsidRPr="004E75B3">
        <w:rPr>
          <w:rFonts w:ascii="Times New Roman" w:hAnsi="Times New Roman" w:cs="Times New Roman"/>
        </w:rPr>
        <w:t xml:space="preserve"> reference to</w:t>
      </w:r>
      <w:r w:rsidR="002A6BCB" w:rsidRPr="004E75B3">
        <w:rPr>
          <w:rFonts w:ascii="Times New Roman" w:hAnsi="Times New Roman" w:cs="Times New Roman"/>
        </w:rPr>
        <w:t xml:space="preserve"> the Bank Secrecy Act of 1970, as amended (BSA), and the requirement that certain financial institutions establish anti-money laundering </w:t>
      </w:r>
      <w:r w:rsidR="009F035B" w:rsidRPr="004E75B3">
        <w:rPr>
          <w:rFonts w:ascii="Times New Roman" w:hAnsi="Times New Roman" w:cs="Times New Roman"/>
        </w:rPr>
        <w:t xml:space="preserve">(AML) </w:t>
      </w:r>
      <w:r w:rsidR="002A6BCB" w:rsidRPr="004E75B3">
        <w:rPr>
          <w:rFonts w:ascii="Times New Roman" w:hAnsi="Times New Roman" w:cs="Times New Roman"/>
        </w:rPr>
        <w:t>programs that are tailored to address the risks associated with the firm’s location, size, and activities.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2A6BCB" w:rsidRPr="004E75B3">
        <w:rPr>
          <w:rFonts w:ascii="Times New Roman" w:hAnsi="Times New Roman" w:cs="Times New Roman"/>
        </w:rPr>
        <w:t xml:space="preserve">This is important considering that </w:t>
      </w:r>
      <w:r w:rsidR="009F035B" w:rsidRPr="004E75B3">
        <w:rPr>
          <w:rFonts w:ascii="Times New Roman" w:hAnsi="Times New Roman" w:cs="Times New Roman"/>
        </w:rPr>
        <w:t xml:space="preserve">a new </w:t>
      </w:r>
      <w:hyperlink r:id="rId18" w:history="1">
        <w:r w:rsidR="009F035B" w:rsidRPr="004E75B3">
          <w:rPr>
            <w:rStyle w:val="Hyperlink"/>
            <w:rFonts w:ascii="Times New Roman" w:hAnsi="Times New Roman" w:cs="Times New Roman"/>
          </w:rPr>
          <w:t>Fin</w:t>
        </w:r>
        <w:r w:rsidR="00751504" w:rsidRPr="004E75B3">
          <w:rPr>
            <w:rStyle w:val="Hyperlink"/>
            <w:rFonts w:ascii="Times New Roman" w:hAnsi="Times New Roman" w:cs="Times New Roman"/>
          </w:rPr>
          <w:t xml:space="preserve">ancial </w:t>
        </w:r>
        <w:r w:rsidR="009F035B" w:rsidRPr="004E75B3">
          <w:rPr>
            <w:rStyle w:val="Hyperlink"/>
            <w:rFonts w:ascii="Times New Roman" w:hAnsi="Times New Roman" w:cs="Times New Roman"/>
          </w:rPr>
          <w:t>C</w:t>
        </w:r>
        <w:r w:rsidR="00751504" w:rsidRPr="004E75B3">
          <w:rPr>
            <w:rStyle w:val="Hyperlink"/>
            <w:rFonts w:ascii="Times New Roman" w:hAnsi="Times New Roman" w:cs="Times New Roman"/>
          </w:rPr>
          <w:t xml:space="preserve">rimes </w:t>
        </w:r>
        <w:r w:rsidR="009F035B" w:rsidRPr="004E75B3">
          <w:rPr>
            <w:rStyle w:val="Hyperlink"/>
            <w:rFonts w:ascii="Times New Roman" w:hAnsi="Times New Roman" w:cs="Times New Roman"/>
          </w:rPr>
          <w:t>E</w:t>
        </w:r>
        <w:r w:rsidR="00751504" w:rsidRPr="004E75B3">
          <w:rPr>
            <w:rStyle w:val="Hyperlink"/>
            <w:rFonts w:ascii="Times New Roman" w:hAnsi="Times New Roman" w:cs="Times New Roman"/>
          </w:rPr>
          <w:t xml:space="preserve">nforcement </w:t>
        </w:r>
        <w:r w:rsidR="009F035B" w:rsidRPr="004E75B3">
          <w:rPr>
            <w:rStyle w:val="Hyperlink"/>
            <w:rFonts w:ascii="Times New Roman" w:hAnsi="Times New Roman" w:cs="Times New Roman"/>
          </w:rPr>
          <w:t>N</w:t>
        </w:r>
        <w:r w:rsidR="00751504" w:rsidRPr="004E75B3">
          <w:rPr>
            <w:rStyle w:val="Hyperlink"/>
            <w:rFonts w:ascii="Times New Roman" w:hAnsi="Times New Roman" w:cs="Times New Roman"/>
          </w:rPr>
          <w:t>etwork</w:t>
        </w:r>
        <w:r w:rsidR="009F035B" w:rsidRPr="004E75B3">
          <w:rPr>
            <w:rStyle w:val="Hyperlink"/>
            <w:rFonts w:ascii="Times New Roman" w:hAnsi="Times New Roman" w:cs="Times New Roman"/>
          </w:rPr>
          <w:t xml:space="preserve"> rule</w:t>
        </w:r>
      </w:hyperlink>
      <w:r w:rsidR="009F035B" w:rsidRPr="004E75B3">
        <w:rPr>
          <w:rFonts w:ascii="Times New Roman" w:hAnsi="Times New Roman" w:cs="Times New Roman"/>
        </w:rPr>
        <w:t>, which goes into effect in January 2026, wil</w:t>
      </w:r>
      <w:r w:rsidR="007C10F7" w:rsidRPr="004E75B3">
        <w:rPr>
          <w:rFonts w:ascii="Times New Roman" w:hAnsi="Times New Roman" w:cs="Times New Roman"/>
        </w:rPr>
        <w:t>l</w:t>
      </w:r>
      <w:r w:rsidR="009F035B" w:rsidRPr="004E75B3">
        <w:rPr>
          <w:rFonts w:ascii="Times New Roman" w:hAnsi="Times New Roman" w:cs="Times New Roman"/>
        </w:rPr>
        <w:t xml:space="preserve"> subject investment advisers to the BSA and will require such advisers to implement AML programs, file suspicious activity reports, and comply with certain recordkeeping requirements</w:t>
      </w:r>
      <w:r w:rsidR="0020347F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20347F" w:rsidRPr="004E75B3">
        <w:rPr>
          <w:rFonts w:ascii="Times New Roman" w:hAnsi="Times New Roman" w:cs="Times New Roman"/>
        </w:rPr>
        <w:t>The Report indicates that the Division will continue to focus on AML programs</w:t>
      </w:r>
      <w:r w:rsidR="001E2520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1E2520" w:rsidRPr="004E75B3">
        <w:rPr>
          <w:rFonts w:ascii="Times New Roman" w:hAnsi="Times New Roman" w:cs="Times New Roman"/>
        </w:rPr>
        <w:t>T</w:t>
      </w:r>
      <w:r w:rsidR="002E56AC" w:rsidRPr="004E75B3">
        <w:rPr>
          <w:rFonts w:ascii="Times New Roman" w:hAnsi="Times New Roman" w:cs="Times New Roman"/>
        </w:rPr>
        <w:t xml:space="preserve">hus, </w:t>
      </w:r>
      <w:r w:rsidR="0020347F" w:rsidRPr="004E75B3">
        <w:rPr>
          <w:rFonts w:ascii="Times New Roman" w:hAnsi="Times New Roman" w:cs="Times New Roman"/>
        </w:rPr>
        <w:t>advisers would be well</w:t>
      </w:r>
      <w:r w:rsidR="00751504" w:rsidRPr="004E75B3">
        <w:rPr>
          <w:rFonts w:ascii="Times New Roman" w:hAnsi="Times New Roman" w:cs="Times New Roman"/>
        </w:rPr>
        <w:t xml:space="preserve"> </w:t>
      </w:r>
      <w:r w:rsidR="0020347F" w:rsidRPr="004E75B3">
        <w:rPr>
          <w:rFonts w:ascii="Times New Roman" w:hAnsi="Times New Roman" w:cs="Times New Roman"/>
        </w:rPr>
        <w:t>advised to implement any necessary changes to policies and procedures in 2025</w:t>
      </w:r>
      <w:r w:rsidR="007C10F7" w:rsidRPr="004E75B3">
        <w:rPr>
          <w:rFonts w:ascii="Times New Roman" w:hAnsi="Times New Roman" w:cs="Times New Roman"/>
        </w:rPr>
        <w:t xml:space="preserve">. </w:t>
      </w:r>
    </w:p>
    <w:p w14:paraId="2B306C70" w14:textId="77777777" w:rsidR="007C10F7" w:rsidRPr="004E75B3" w:rsidRDefault="007C10F7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466E33" w14:textId="625A30FE" w:rsidR="00F576B1" w:rsidRPr="004E75B3" w:rsidRDefault="007C10F7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Finally, it is worth comparing the topics in the </w:t>
      </w:r>
      <w:r w:rsidR="002F63E1" w:rsidRPr="004E75B3">
        <w:rPr>
          <w:rFonts w:ascii="Times New Roman" w:hAnsi="Times New Roman" w:cs="Times New Roman"/>
        </w:rPr>
        <w:t xml:space="preserve">Report to the agenda for the </w:t>
      </w:r>
      <w:hyperlink r:id="rId19" w:history="1">
        <w:r w:rsidR="002F63E1" w:rsidRPr="004E75B3">
          <w:rPr>
            <w:rStyle w:val="Hyperlink"/>
            <w:rFonts w:ascii="Times New Roman" w:hAnsi="Times New Roman" w:cs="Times New Roman"/>
          </w:rPr>
          <w:t>Compliance Outreach Program</w:t>
        </w:r>
      </w:hyperlink>
      <w:r w:rsidR="002F63E1" w:rsidRPr="004E75B3">
        <w:rPr>
          <w:rFonts w:ascii="Times New Roman" w:hAnsi="Times New Roman" w:cs="Times New Roman"/>
        </w:rPr>
        <w:t xml:space="preserve"> </w:t>
      </w:r>
      <w:r w:rsidR="006E699B" w:rsidRPr="004E75B3">
        <w:rPr>
          <w:rFonts w:ascii="Times New Roman" w:hAnsi="Times New Roman" w:cs="Times New Roman"/>
        </w:rPr>
        <w:t xml:space="preserve">recently </w:t>
      </w:r>
      <w:r w:rsidR="002F63E1" w:rsidRPr="004E75B3">
        <w:rPr>
          <w:rFonts w:ascii="Times New Roman" w:hAnsi="Times New Roman" w:cs="Times New Roman"/>
        </w:rPr>
        <w:t>administered by the SEC</w:t>
      </w:r>
      <w:r w:rsidR="006E699B" w:rsidRPr="004E75B3">
        <w:rPr>
          <w:rFonts w:ascii="Times New Roman" w:hAnsi="Times New Roman" w:cs="Times New Roman"/>
        </w:rPr>
        <w:t xml:space="preserve"> on November 7</w:t>
      </w:r>
      <w:r w:rsidR="006E699B" w:rsidRPr="004E75B3">
        <w:rPr>
          <w:rFonts w:ascii="Times New Roman" w:hAnsi="Times New Roman" w:cs="Times New Roman"/>
        </w:rPr>
        <w:t>, 2024</w:t>
      </w:r>
      <w:r w:rsidR="002F63E1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466D7C" w:rsidRPr="004E75B3">
        <w:rPr>
          <w:rFonts w:ascii="Times New Roman" w:hAnsi="Times New Roman" w:cs="Times New Roman"/>
        </w:rPr>
        <w:t>A</w:t>
      </w:r>
      <w:r w:rsidR="00E45D68" w:rsidRPr="004E75B3">
        <w:rPr>
          <w:rFonts w:ascii="Times New Roman" w:hAnsi="Times New Roman" w:cs="Times New Roman"/>
        </w:rPr>
        <w:t xml:space="preserve"> number of the agenda items are consistent with the Report</w:t>
      </w:r>
      <w:r w:rsidR="00466D7C" w:rsidRPr="004E75B3">
        <w:rPr>
          <w:rFonts w:ascii="Times New Roman" w:hAnsi="Times New Roman" w:cs="Times New Roman"/>
        </w:rPr>
        <w:t xml:space="preserve">, such as </w:t>
      </w:r>
      <w:r w:rsidR="00E45D68" w:rsidRPr="004E75B3">
        <w:rPr>
          <w:rFonts w:ascii="Times New Roman" w:hAnsi="Times New Roman" w:cs="Times New Roman"/>
        </w:rPr>
        <w:t>adherence to fiduciary duties, accuracy of private fund fee and expense calculations, and compliance with the Marketing Rule</w:t>
      </w:r>
      <w:r w:rsidR="00466D7C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490AFC" w:rsidRPr="004E75B3">
        <w:rPr>
          <w:rFonts w:ascii="Times New Roman" w:hAnsi="Times New Roman" w:cs="Times New Roman"/>
        </w:rPr>
        <w:t xml:space="preserve">A number of other agenda items, such as off-channel communications, advisers’ oversight of third-party vendors, cybersecurity, and protection of investor information, could fall within the categories highlighted in the Report (e.g., adequacy of compliance policies and procedures) and </w:t>
      </w:r>
      <w:r w:rsidR="00466D7C" w:rsidRPr="004E75B3">
        <w:rPr>
          <w:rFonts w:ascii="Times New Roman" w:hAnsi="Times New Roman" w:cs="Times New Roman"/>
        </w:rPr>
        <w:t xml:space="preserve">are also </w:t>
      </w:r>
      <w:r w:rsidR="006A482A" w:rsidRPr="004E75B3">
        <w:rPr>
          <w:rFonts w:ascii="Times New Roman" w:hAnsi="Times New Roman" w:cs="Times New Roman"/>
        </w:rPr>
        <w:t xml:space="preserve">likely </w:t>
      </w:r>
      <w:r w:rsidR="00466D7C" w:rsidRPr="004E75B3">
        <w:rPr>
          <w:rFonts w:ascii="Times New Roman" w:hAnsi="Times New Roman" w:cs="Times New Roman"/>
        </w:rPr>
        <w:t xml:space="preserve">to </w:t>
      </w:r>
      <w:r w:rsidR="006A482A" w:rsidRPr="004E75B3">
        <w:rPr>
          <w:rFonts w:ascii="Times New Roman" w:hAnsi="Times New Roman" w:cs="Times New Roman"/>
        </w:rPr>
        <w:t>be a focus of the SEC’s examinations</w:t>
      </w:r>
      <w:r w:rsidR="00BA546A">
        <w:rPr>
          <w:rFonts w:ascii="Times New Roman" w:hAnsi="Times New Roman" w:cs="Times New Roman"/>
        </w:rPr>
        <w:t xml:space="preserve"> involving investment advisers</w:t>
      </w:r>
      <w:r w:rsidR="006A482A" w:rsidRPr="004E75B3">
        <w:rPr>
          <w:rFonts w:ascii="Times New Roman" w:hAnsi="Times New Roman" w:cs="Times New Roman"/>
        </w:rPr>
        <w:t xml:space="preserve"> in 2025.</w:t>
      </w:r>
    </w:p>
    <w:p w14:paraId="4DC27F9C" w14:textId="453D5A20" w:rsidR="00880067" w:rsidRPr="004E75B3" w:rsidRDefault="00880067" w:rsidP="003E79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E21558" w14:textId="1BF1DE8B" w:rsidR="00413497" w:rsidRPr="004E75B3" w:rsidRDefault="00C37500" w:rsidP="003E7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B3">
        <w:rPr>
          <w:rFonts w:ascii="Times New Roman" w:hAnsi="Times New Roman" w:cs="Times New Roman"/>
        </w:rPr>
        <w:t xml:space="preserve">Investment advisers should </w:t>
      </w:r>
      <w:r w:rsidR="009C066D" w:rsidRPr="004E75B3">
        <w:rPr>
          <w:rFonts w:ascii="Times New Roman" w:hAnsi="Times New Roman" w:cs="Times New Roman"/>
        </w:rPr>
        <w:t>take note</w:t>
      </w:r>
      <w:r w:rsidRPr="004E75B3">
        <w:rPr>
          <w:rFonts w:ascii="Times New Roman" w:hAnsi="Times New Roman" w:cs="Times New Roman"/>
        </w:rPr>
        <w:t xml:space="preserve"> that </w:t>
      </w:r>
      <w:r w:rsidR="0001799E" w:rsidRPr="004E75B3">
        <w:rPr>
          <w:rFonts w:ascii="Times New Roman" w:hAnsi="Times New Roman" w:cs="Times New Roman"/>
        </w:rPr>
        <w:t xml:space="preserve">the </w:t>
      </w:r>
      <w:r w:rsidR="009C066D" w:rsidRPr="004E75B3">
        <w:rPr>
          <w:rFonts w:ascii="Times New Roman" w:hAnsi="Times New Roman" w:cs="Times New Roman"/>
        </w:rPr>
        <w:t>Report</w:t>
      </w:r>
      <w:r w:rsidR="0001799E" w:rsidRPr="004E75B3">
        <w:rPr>
          <w:rFonts w:ascii="Times New Roman" w:hAnsi="Times New Roman" w:cs="Times New Roman"/>
        </w:rPr>
        <w:t xml:space="preserve"> is not a comprehensive</w:t>
      </w:r>
      <w:r w:rsidR="009C066D" w:rsidRPr="004E75B3">
        <w:rPr>
          <w:rFonts w:ascii="Times New Roman" w:hAnsi="Times New Roman" w:cs="Times New Roman"/>
        </w:rPr>
        <w:t xml:space="preserve"> indicator</w:t>
      </w:r>
      <w:r w:rsidR="0001799E" w:rsidRPr="004E75B3">
        <w:rPr>
          <w:rFonts w:ascii="Times New Roman" w:hAnsi="Times New Roman" w:cs="Times New Roman"/>
        </w:rPr>
        <w:t xml:space="preserve"> of the issues</w:t>
      </w:r>
      <w:r w:rsidR="009C066D" w:rsidRPr="004E75B3">
        <w:rPr>
          <w:rFonts w:ascii="Times New Roman" w:hAnsi="Times New Roman" w:cs="Times New Roman"/>
        </w:rPr>
        <w:t xml:space="preserve"> </w:t>
      </w:r>
      <w:r w:rsidR="009C066D" w:rsidRPr="004E75B3">
        <w:rPr>
          <w:rFonts w:ascii="Times New Roman" w:hAnsi="Times New Roman" w:cs="Times New Roman"/>
        </w:rPr>
        <w:t>that</w:t>
      </w:r>
      <w:r w:rsidR="0001799E" w:rsidRPr="004E75B3">
        <w:rPr>
          <w:rFonts w:ascii="Times New Roman" w:hAnsi="Times New Roman" w:cs="Times New Roman"/>
        </w:rPr>
        <w:t xml:space="preserve"> </w:t>
      </w:r>
      <w:r w:rsidR="0001799E" w:rsidRPr="004E75B3">
        <w:rPr>
          <w:rFonts w:ascii="Times New Roman" w:hAnsi="Times New Roman" w:cs="Times New Roman"/>
        </w:rPr>
        <w:t xml:space="preserve">the Division </w:t>
      </w:r>
      <w:r w:rsidR="00CB5EAD" w:rsidRPr="004E75B3">
        <w:rPr>
          <w:rFonts w:ascii="Times New Roman" w:hAnsi="Times New Roman" w:cs="Times New Roman"/>
        </w:rPr>
        <w:t>may</w:t>
      </w:r>
      <w:r w:rsidR="0001799E" w:rsidRPr="004E75B3">
        <w:rPr>
          <w:rFonts w:ascii="Times New Roman" w:hAnsi="Times New Roman" w:cs="Times New Roman"/>
        </w:rPr>
        <w:t xml:space="preserve"> address during examinations</w:t>
      </w:r>
      <w:r w:rsidR="004F2863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B36892" w:rsidRPr="004E75B3">
        <w:rPr>
          <w:rFonts w:ascii="Times New Roman" w:hAnsi="Times New Roman" w:cs="Times New Roman"/>
        </w:rPr>
        <w:t>Lowenstein Sandler will monitor future publications from the Division and provide further updates in subsequent Client Alerts so</w:t>
      </w:r>
      <w:r w:rsidR="004F2863" w:rsidRPr="004E75B3">
        <w:rPr>
          <w:rFonts w:ascii="Times New Roman" w:hAnsi="Times New Roman" w:cs="Times New Roman"/>
        </w:rPr>
        <w:t xml:space="preserve"> that</w:t>
      </w:r>
      <w:r w:rsidR="00B36892" w:rsidRPr="004E75B3">
        <w:rPr>
          <w:rFonts w:ascii="Times New Roman" w:hAnsi="Times New Roman" w:cs="Times New Roman"/>
        </w:rPr>
        <w:t xml:space="preserve"> investment advisers can determine whether changes to their policies and procedures a</w:t>
      </w:r>
      <w:r w:rsidR="004F2863" w:rsidRPr="004E75B3">
        <w:rPr>
          <w:rFonts w:ascii="Times New Roman" w:hAnsi="Times New Roman" w:cs="Times New Roman"/>
        </w:rPr>
        <w:t>re</w:t>
      </w:r>
      <w:r w:rsidR="00B36892" w:rsidRPr="004E75B3">
        <w:rPr>
          <w:rFonts w:ascii="Times New Roman" w:hAnsi="Times New Roman" w:cs="Times New Roman"/>
        </w:rPr>
        <w:t xml:space="preserve"> </w:t>
      </w:r>
      <w:r w:rsidR="00190080" w:rsidRPr="004E75B3">
        <w:rPr>
          <w:rFonts w:ascii="Times New Roman" w:hAnsi="Times New Roman" w:cs="Times New Roman"/>
        </w:rPr>
        <w:t>necessary</w:t>
      </w:r>
      <w:r w:rsidR="00B36892" w:rsidRPr="004E75B3">
        <w:rPr>
          <w:rFonts w:ascii="Times New Roman" w:hAnsi="Times New Roman" w:cs="Times New Roman"/>
        </w:rPr>
        <w:t>.</w:t>
      </w:r>
      <w:r w:rsidR="00D8177A" w:rsidRPr="004E75B3">
        <w:rPr>
          <w:rFonts w:ascii="Times New Roman" w:hAnsi="Times New Roman" w:cs="Times New Roman"/>
        </w:rPr>
        <w:t xml:space="preserve"> </w:t>
      </w:r>
      <w:r w:rsidR="00B36892" w:rsidRPr="004E75B3">
        <w:rPr>
          <w:rFonts w:ascii="Times New Roman" w:hAnsi="Times New Roman" w:cs="Times New Roman"/>
        </w:rPr>
        <w:t xml:space="preserve">Please reach out to one of the listed authors of this Client Alert or your regular Lowenstein Sandler contact if you have any questions regarding the </w:t>
      </w:r>
      <w:r w:rsidR="009C066D" w:rsidRPr="004E75B3">
        <w:rPr>
          <w:rFonts w:ascii="Times New Roman" w:hAnsi="Times New Roman" w:cs="Times New Roman"/>
        </w:rPr>
        <w:t>Report</w:t>
      </w:r>
      <w:r w:rsidR="00B36892" w:rsidRPr="004E75B3">
        <w:rPr>
          <w:rFonts w:ascii="Times New Roman" w:hAnsi="Times New Roman" w:cs="Times New Roman"/>
        </w:rPr>
        <w:t>.</w:t>
      </w:r>
    </w:p>
    <w:sectPr w:rsidR="00413497" w:rsidRPr="004E75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77CC" w14:textId="77777777" w:rsidR="00E05BD6" w:rsidRDefault="00E05BD6" w:rsidP="000A7648">
      <w:pPr>
        <w:spacing w:after="0" w:line="240" w:lineRule="auto"/>
      </w:pPr>
      <w:r>
        <w:separator/>
      </w:r>
    </w:p>
  </w:endnote>
  <w:endnote w:type="continuationSeparator" w:id="0">
    <w:p w14:paraId="24424ECF" w14:textId="77777777" w:rsidR="00E05BD6" w:rsidRDefault="00E05BD6" w:rsidP="000A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F9E7" w14:textId="77777777" w:rsidR="00D62C8F" w:rsidRDefault="00D62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196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14D7EB" w14:textId="52E5F98C" w:rsidR="007F6098" w:rsidRPr="00F03D1C" w:rsidRDefault="007F6098">
        <w:pPr>
          <w:pStyle w:val="Footer"/>
          <w:jc w:val="center"/>
          <w:rPr>
            <w:rFonts w:ascii="Times New Roman" w:hAnsi="Times New Roman" w:cs="Times New Roman"/>
          </w:rPr>
        </w:pPr>
        <w:r w:rsidRPr="00F03D1C">
          <w:rPr>
            <w:rFonts w:ascii="Times New Roman" w:hAnsi="Times New Roman" w:cs="Times New Roman"/>
          </w:rPr>
          <w:fldChar w:fldCharType="begin"/>
        </w:r>
        <w:r w:rsidRPr="00F03D1C">
          <w:rPr>
            <w:rFonts w:ascii="Times New Roman" w:hAnsi="Times New Roman" w:cs="Times New Roman"/>
          </w:rPr>
          <w:instrText xml:space="preserve"> PAGE   \* MERGEFORMAT </w:instrText>
        </w:r>
        <w:r w:rsidRPr="00F03D1C">
          <w:rPr>
            <w:rFonts w:ascii="Times New Roman" w:hAnsi="Times New Roman" w:cs="Times New Roman"/>
          </w:rPr>
          <w:fldChar w:fldCharType="separate"/>
        </w:r>
        <w:r w:rsidRPr="00F03D1C">
          <w:rPr>
            <w:rFonts w:ascii="Times New Roman" w:hAnsi="Times New Roman" w:cs="Times New Roman"/>
            <w:noProof/>
          </w:rPr>
          <w:t>2</w:t>
        </w:r>
        <w:r w:rsidRPr="00F03D1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B5B183" w14:textId="77777777" w:rsidR="0035539D" w:rsidRDefault="00355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6C9C" w14:textId="77777777" w:rsidR="00D62C8F" w:rsidRDefault="00D62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120ED" w14:textId="77777777" w:rsidR="00E05BD6" w:rsidRDefault="00E05BD6" w:rsidP="000A7648">
      <w:pPr>
        <w:spacing w:after="0" w:line="240" w:lineRule="auto"/>
      </w:pPr>
      <w:r>
        <w:separator/>
      </w:r>
    </w:p>
  </w:footnote>
  <w:footnote w:type="continuationSeparator" w:id="0">
    <w:p w14:paraId="09E1C382" w14:textId="77777777" w:rsidR="00E05BD6" w:rsidRDefault="00E05BD6" w:rsidP="000A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FED2" w14:textId="77777777" w:rsidR="00D62C8F" w:rsidRDefault="00D62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EA21" w14:textId="77777777" w:rsidR="00D62C8F" w:rsidRDefault="00D62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20B8" w14:textId="77777777" w:rsidR="00D62C8F" w:rsidRDefault="00D62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6FB1"/>
    <w:multiLevelType w:val="hybridMultilevel"/>
    <w:tmpl w:val="39EC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20DB3"/>
    <w:multiLevelType w:val="hybridMultilevel"/>
    <w:tmpl w:val="6824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1510"/>
    <w:multiLevelType w:val="hybridMultilevel"/>
    <w:tmpl w:val="85A8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73753">
    <w:abstractNumId w:val="2"/>
  </w:num>
  <w:num w:numId="2" w16cid:durableId="1484547471">
    <w:abstractNumId w:val="1"/>
  </w:num>
  <w:num w:numId="3" w16cid:durableId="20965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AD"/>
    <w:rsid w:val="00006763"/>
    <w:rsid w:val="000076AD"/>
    <w:rsid w:val="0001799E"/>
    <w:rsid w:val="00020004"/>
    <w:rsid w:val="000350C1"/>
    <w:rsid w:val="00052FB5"/>
    <w:rsid w:val="000A3E56"/>
    <w:rsid w:val="000A7648"/>
    <w:rsid w:val="000B3F4B"/>
    <w:rsid w:val="000B70AF"/>
    <w:rsid w:val="000D4FA0"/>
    <w:rsid w:val="000E12A1"/>
    <w:rsid w:val="000F5BBB"/>
    <w:rsid w:val="001138E4"/>
    <w:rsid w:val="0013536B"/>
    <w:rsid w:val="00151A53"/>
    <w:rsid w:val="00190080"/>
    <w:rsid w:val="00190ADB"/>
    <w:rsid w:val="001A76D2"/>
    <w:rsid w:val="001A7F85"/>
    <w:rsid w:val="001B0B4C"/>
    <w:rsid w:val="001B735B"/>
    <w:rsid w:val="001C438B"/>
    <w:rsid w:val="001D0FD9"/>
    <w:rsid w:val="001D1B82"/>
    <w:rsid w:val="001E14E9"/>
    <w:rsid w:val="001E2520"/>
    <w:rsid w:val="001E560B"/>
    <w:rsid w:val="001F59F4"/>
    <w:rsid w:val="00200AD2"/>
    <w:rsid w:val="0020347F"/>
    <w:rsid w:val="002050E6"/>
    <w:rsid w:val="002061B6"/>
    <w:rsid w:val="002107D7"/>
    <w:rsid w:val="002122A3"/>
    <w:rsid w:val="00213AC2"/>
    <w:rsid w:val="0021433E"/>
    <w:rsid w:val="002144CA"/>
    <w:rsid w:val="00224100"/>
    <w:rsid w:val="00257CA2"/>
    <w:rsid w:val="0026279D"/>
    <w:rsid w:val="00274C28"/>
    <w:rsid w:val="00294160"/>
    <w:rsid w:val="002A2153"/>
    <w:rsid w:val="002A6BCB"/>
    <w:rsid w:val="002B297B"/>
    <w:rsid w:val="002D0690"/>
    <w:rsid w:val="002D3C59"/>
    <w:rsid w:val="002E56AC"/>
    <w:rsid w:val="002F63E1"/>
    <w:rsid w:val="00301A87"/>
    <w:rsid w:val="00301D03"/>
    <w:rsid w:val="003167B7"/>
    <w:rsid w:val="00332206"/>
    <w:rsid w:val="00340AB9"/>
    <w:rsid w:val="0035539D"/>
    <w:rsid w:val="003868A8"/>
    <w:rsid w:val="003A0468"/>
    <w:rsid w:val="003C19EE"/>
    <w:rsid w:val="003C2618"/>
    <w:rsid w:val="003C2AB4"/>
    <w:rsid w:val="003C6FDC"/>
    <w:rsid w:val="003E48F8"/>
    <w:rsid w:val="003E5E0B"/>
    <w:rsid w:val="003E7966"/>
    <w:rsid w:val="003F1DF1"/>
    <w:rsid w:val="003F4109"/>
    <w:rsid w:val="003F5D84"/>
    <w:rsid w:val="004032A3"/>
    <w:rsid w:val="00413497"/>
    <w:rsid w:val="00416D67"/>
    <w:rsid w:val="00436703"/>
    <w:rsid w:val="00456813"/>
    <w:rsid w:val="00462601"/>
    <w:rsid w:val="00464567"/>
    <w:rsid w:val="00466889"/>
    <w:rsid w:val="00466D7C"/>
    <w:rsid w:val="004839FF"/>
    <w:rsid w:val="004856DB"/>
    <w:rsid w:val="00487413"/>
    <w:rsid w:val="00490AFC"/>
    <w:rsid w:val="004A1A92"/>
    <w:rsid w:val="004A1AA8"/>
    <w:rsid w:val="004D054E"/>
    <w:rsid w:val="004E30DF"/>
    <w:rsid w:val="004E3298"/>
    <w:rsid w:val="004E3C79"/>
    <w:rsid w:val="004E75B3"/>
    <w:rsid w:val="004E7EA9"/>
    <w:rsid w:val="004F2863"/>
    <w:rsid w:val="004F6B54"/>
    <w:rsid w:val="00517ED3"/>
    <w:rsid w:val="005538BA"/>
    <w:rsid w:val="00562CAE"/>
    <w:rsid w:val="00590514"/>
    <w:rsid w:val="00591577"/>
    <w:rsid w:val="00596A15"/>
    <w:rsid w:val="005A4758"/>
    <w:rsid w:val="005A54CF"/>
    <w:rsid w:val="005A6444"/>
    <w:rsid w:val="005B2743"/>
    <w:rsid w:val="005C7FA9"/>
    <w:rsid w:val="005D5377"/>
    <w:rsid w:val="005E34DF"/>
    <w:rsid w:val="00645546"/>
    <w:rsid w:val="006505E9"/>
    <w:rsid w:val="00662B8A"/>
    <w:rsid w:val="0068485A"/>
    <w:rsid w:val="00694BBD"/>
    <w:rsid w:val="006A17B9"/>
    <w:rsid w:val="006A482A"/>
    <w:rsid w:val="006E699B"/>
    <w:rsid w:val="006F6C06"/>
    <w:rsid w:val="00700430"/>
    <w:rsid w:val="00724E52"/>
    <w:rsid w:val="00736AE4"/>
    <w:rsid w:val="00751504"/>
    <w:rsid w:val="00773FF9"/>
    <w:rsid w:val="007741EB"/>
    <w:rsid w:val="007A42F4"/>
    <w:rsid w:val="007C10F7"/>
    <w:rsid w:val="007F1682"/>
    <w:rsid w:val="007F42A1"/>
    <w:rsid w:val="007F6098"/>
    <w:rsid w:val="008037D5"/>
    <w:rsid w:val="0083734D"/>
    <w:rsid w:val="0084314D"/>
    <w:rsid w:val="0087228C"/>
    <w:rsid w:val="0087259D"/>
    <w:rsid w:val="0087275F"/>
    <w:rsid w:val="00876216"/>
    <w:rsid w:val="00880067"/>
    <w:rsid w:val="008B3EA1"/>
    <w:rsid w:val="008C1E2C"/>
    <w:rsid w:val="00910EA8"/>
    <w:rsid w:val="0092163D"/>
    <w:rsid w:val="0092620F"/>
    <w:rsid w:val="0093010F"/>
    <w:rsid w:val="00950601"/>
    <w:rsid w:val="009A71FA"/>
    <w:rsid w:val="009B0530"/>
    <w:rsid w:val="009B26AF"/>
    <w:rsid w:val="009C066D"/>
    <w:rsid w:val="009C51C9"/>
    <w:rsid w:val="009D5028"/>
    <w:rsid w:val="009D6FC2"/>
    <w:rsid w:val="009F035B"/>
    <w:rsid w:val="00A230FA"/>
    <w:rsid w:val="00A23A19"/>
    <w:rsid w:val="00A24B58"/>
    <w:rsid w:val="00A331A2"/>
    <w:rsid w:val="00A4589B"/>
    <w:rsid w:val="00A553D1"/>
    <w:rsid w:val="00A6482F"/>
    <w:rsid w:val="00A75E3C"/>
    <w:rsid w:val="00A77873"/>
    <w:rsid w:val="00AA692F"/>
    <w:rsid w:val="00AC65AD"/>
    <w:rsid w:val="00AC70B6"/>
    <w:rsid w:val="00AD0EC9"/>
    <w:rsid w:val="00AE346C"/>
    <w:rsid w:val="00B114B0"/>
    <w:rsid w:val="00B24C16"/>
    <w:rsid w:val="00B36892"/>
    <w:rsid w:val="00BA14EB"/>
    <w:rsid w:val="00BA44FE"/>
    <w:rsid w:val="00BA546A"/>
    <w:rsid w:val="00BB405A"/>
    <w:rsid w:val="00BF0E48"/>
    <w:rsid w:val="00BF1D77"/>
    <w:rsid w:val="00BF550E"/>
    <w:rsid w:val="00C17D53"/>
    <w:rsid w:val="00C37500"/>
    <w:rsid w:val="00C4238A"/>
    <w:rsid w:val="00C51E8D"/>
    <w:rsid w:val="00C5372B"/>
    <w:rsid w:val="00C57999"/>
    <w:rsid w:val="00C60598"/>
    <w:rsid w:val="00C62003"/>
    <w:rsid w:val="00C630FC"/>
    <w:rsid w:val="00C87C2B"/>
    <w:rsid w:val="00CB5EAD"/>
    <w:rsid w:val="00CD7DEF"/>
    <w:rsid w:val="00CE039F"/>
    <w:rsid w:val="00CE5CBF"/>
    <w:rsid w:val="00CE6E5D"/>
    <w:rsid w:val="00CF251B"/>
    <w:rsid w:val="00CF2DB4"/>
    <w:rsid w:val="00D0163E"/>
    <w:rsid w:val="00D310DD"/>
    <w:rsid w:val="00D41016"/>
    <w:rsid w:val="00D5277C"/>
    <w:rsid w:val="00D5505C"/>
    <w:rsid w:val="00D62C8F"/>
    <w:rsid w:val="00D8177A"/>
    <w:rsid w:val="00D828EF"/>
    <w:rsid w:val="00DA0776"/>
    <w:rsid w:val="00DA13BF"/>
    <w:rsid w:val="00DA33CF"/>
    <w:rsid w:val="00DB6077"/>
    <w:rsid w:val="00DB62EE"/>
    <w:rsid w:val="00DC06A2"/>
    <w:rsid w:val="00DC4218"/>
    <w:rsid w:val="00DD3479"/>
    <w:rsid w:val="00DF2C56"/>
    <w:rsid w:val="00E05BD6"/>
    <w:rsid w:val="00E45D68"/>
    <w:rsid w:val="00E62C1A"/>
    <w:rsid w:val="00E66A61"/>
    <w:rsid w:val="00E7584B"/>
    <w:rsid w:val="00E7755C"/>
    <w:rsid w:val="00E87F4D"/>
    <w:rsid w:val="00E91AEE"/>
    <w:rsid w:val="00E924D6"/>
    <w:rsid w:val="00E95B11"/>
    <w:rsid w:val="00EA7A8E"/>
    <w:rsid w:val="00EB6863"/>
    <w:rsid w:val="00EE5B99"/>
    <w:rsid w:val="00EF2BA2"/>
    <w:rsid w:val="00F03D1C"/>
    <w:rsid w:val="00F10EDA"/>
    <w:rsid w:val="00F14737"/>
    <w:rsid w:val="00F25587"/>
    <w:rsid w:val="00F469CD"/>
    <w:rsid w:val="00F576B1"/>
    <w:rsid w:val="00F80356"/>
    <w:rsid w:val="00F8396F"/>
    <w:rsid w:val="00F851F7"/>
    <w:rsid w:val="00F94997"/>
    <w:rsid w:val="00FA426A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AE06"/>
  <w15:chartTrackingRefBased/>
  <w15:docId w15:val="{EB15D51A-9596-47D8-9EAC-DDC42249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6A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410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10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0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48"/>
  </w:style>
  <w:style w:type="paragraph" w:styleId="Footer">
    <w:name w:val="footer"/>
    <w:basedOn w:val="Normal"/>
    <w:link w:val="FooterChar"/>
    <w:uiPriority w:val="99"/>
    <w:unhideWhenUsed/>
    <w:rsid w:val="000A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48"/>
  </w:style>
  <w:style w:type="character" w:styleId="FollowedHyperlink">
    <w:name w:val="FollowedHyperlink"/>
    <w:basedOn w:val="DefaultParagraphFont"/>
    <w:uiPriority w:val="99"/>
    <w:semiHidden/>
    <w:unhideWhenUsed/>
    <w:rsid w:val="00224100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ec.gov/files/2025-exam-priorities.pdf" TargetMode="External" Id="rId8" /><Relationship Type="http://schemas.openxmlformats.org/officeDocument/2006/relationships/hyperlink" Target="https://www.sec.gov/files/rules/final/2023/ia-6383.pdf" TargetMode="External" Id="rId13" /><Relationship Type="http://schemas.openxmlformats.org/officeDocument/2006/relationships/hyperlink" Target="https://www.federalregister.gov/documents/2024/09/04/2024-19260/financial-crimes-enforcement-network-anti-money-launderingcountering-the-financing-of-terrorism" TargetMode="External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eader" Target="header2.xml" Id="rId21" /><Relationship Type="http://schemas.openxmlformats.org/officeDocument/2006/relationships/endnotes" Target="endnotes.xml" Id="rId7" /><Relationship Type="http://schemas.openxmlformats.org/officeDocument/2006/relationships/hyperlink" Target="https://www.sec.gov/rules/interp/2019/ia-5248.pdf" TargetMode="External" Id="rId12" /><Relationship Type="http://schemas.openxmlformats.org/officeDocument/2006/relationships/hyperlink" Target="https://www.sec.gov/files/litigation/admin/2024/ia-6737.pdf" TargetMode="External" Id="rId17" /><Relationship Type="http://schemas.openxmlformats.org/officeDocument/2006/relationships/footer" Target="footer3.xml" Id="rId25" /><Relationship Type="http://schemas.openxmlformats.org/officeDocument/2006/relationships/numbering" Target="numbering.xml" Id="rId2" /><Relationship Type="http://schemas.openxmlformats.org/officeDocument/2006/relationships/hyperlink" Target="https://www.sec.gov/files/litigation/admin/2024/ia-6666.pdf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lowenstein.com/news-insights/publications/client-alerts/sec-clarifies-federal-fiduciary-duties-of-investment-advisers-investment-management" TargetMode="External" Id="rId11" /><Relationship Type="http://schemas.openxmlformats.org/officeDocument/2006/relationships/header" Target="header3.xml" Id="rId24" /><Relationship Type="http://schemas.openxmlformats.org/officeDocument/2006/relationships/webSettings" Target="webSettings.xml" Id="rId5" /><Relationship Type="http://schemas.openxmlformats.org/officeDocument/2006/relationships/hyperlink" Target="https://www.sec.gov/files/litigation/admin/2024/ia-6670.pdf" TargetMode="External" Id="rId15" /><Relationship Type="http://schemas.openxmlformats.org/officeDocument/2006/relationships/footer" Target="footer2.xml" Id="rId23" /><Relationship Type="http://schemas.openxmlformats.org/officeDocument/2006/relationships/hyperlink" Target="https://www.sec.gov/newsroom/press-releases/2024-148" TargetMode="External" Id="rId10" /><Relationship Type="http://schemas.openxmlformats.org/officeDocument/2006/relationships/hyperlink" Target="https://www.sec.gov/compliance/complianceoutreach/compliance-outreach-program-national-seminar-agenda-110724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sec.gov/files/2024-exam-priorities.pdf" TargetMode="External" Id="rId9" /><Relationship Type="http://schemas.openxmlformats.org/officeDocument/2006/relationships/hyperlink" Target="https://www.sec.gov/files/litigation/admin/2024/ia-6672.pdf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 D B I W O V ! 6 0 4 5 2 6 8 7 . 2 < / d o c u m e n t i d >  
     < s e n d e r i d > S C A L 6 0 2 5 < / s e n d e r i d >  
     < s e n d e r e m a i l > M S C A L E S @ L O W E N S T E I N . C O M < / s e n d e r e m a i l >  
     < l a s t m o d i f i e d > 2 0 2 4 - 1 1 - 1 2 T 1 7 : 3 9 : 0 0 . 0 0 0 0 0 0 0 - 0 5 : 0 0 < / l a s t m o d i f i e d >  
     < d a t a b a s e > D B I W O V 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B6FE-14BF-4D93-816B-3782FD9C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12407</Characters>
  <Application>Microsoft Office Word</Application>
  <DocSecurity>0</DocSecurity>
  <Lines>539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Yetis, Çagla</dc:creator>
  <cp:keywords/>
  <dc:description/>
  <cp:lastModifiedBy>Scales, Michael J.</cp:lastModifiedBy>
  <cp:revision>3</cp:revision>
  <dcterms:created xsi:type="dcterms:W3CDTF">2024-11-12T22:39:00Z</dcterms:created>
  <dcterms:modified xsi:type="dcterms:W3CDTF">2024-11-12T22:39:00Z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o">
    <vt:lpwstr>60452687</vt:lpwstr>
  </property>
  <property fmtid="{D5CDD505-2E9C-101B-9397-08002B2CF9AE}" pid="3" name="DocVer">
    <vt:lpwstr>2</vt:lpwstr>
  </property>
  <property fmtid="{D5CDD505-2E9C-101B-9397-08002B2CF9AE}" pid="4" name="LSCLIENT">
    <vt:lpwstr>99818</vt:lpwstr>
  </property>
  <property fmtid="{D5CDD505-2E9C-101B-9397-08002B2CF9AE}" pid="5" name="LSCLIENTNAME">
    <vt:lpwstr>LS - Investment Management Practice Grp.</vt:lpwstr>
  </property>
  <property fmtid="{D5CDD505-2E9C-101B-9397-08002B2CF9AE}" pid="6" name="LSMATTER">
    <vt:lpwstr>1</vt:lpwstr>
  </property>
  <property fmtid="{D5CDD505-2E9C-101B-9397-08002B2CF9AE}" pid="7" name="LSMATTERNAME">
    <vt:lpwstr>General</vt:lpwstr>
  </property>
  <property fmtid="{D5CDD505-2E9C-101B-9397-08002B2CF9AE}" pid="8" name="LSTypist">
    <vt:lpwstr>Scales, Michael J.</vt:lpwstr>
  </property>
</Properties>
</file>